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1C3" w:rsidRDefault="004721C3" w:rsidP="004721C3">
      <w:pPr>
        <w:jc w:val="center"/>
        <w:rPr>
          <w:rFonts w:cs="Calibri"/>
          <w:b/>
          <w:bCs/>
          <w:sz w:val="24"/>
          <w:szCs w:val="24"/>
        </w:rPr>
      </w:pPr>
    </w:p>
    <w:p w:rsidR="00814D33" w:rsidRDefault="00814D33" w:rsidP="00814D33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SVEUČILIŠTE U ZAGREBU MEDICINSKI FAKULTET</w:t>
      </w:r>
    </w:p>
    <w:p w:rsidR="00814D33" w:rsidRDefault="00814D33" w:rsidP="00814D33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ŠALATA 3</w:t>
      </w:r>
    </w:p>
    <w:p w:rsidR="00814D33" w:rsidRDefault="00814D33" w:rsidP="00814D33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10000 ZAGREB</w:t>
      </w:r>
    </w:p>
    <w:p w:rsidR="00814D33" w:rsidRDefault="00814D33" w:rsidP="00814D33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OIB: 45001686598</w:t>
      </w:r>
    </w:p>
    <w:p w:rsidR="00814D33" w:rsidRDefault="00814D33" w:rsidP="00814D33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RKP: 01888</w:t>
      </w:r>
    </w:p>
    <w:p w:rsidR="00AF2849" w:rsidRDefault="00AF2849" w:rsidP="00AF2849">
      <w:pPr>
        <w:rPr>
          <w:rFonts w:ascii="Arial" w:hAnsi="Arial" w:cs="Arial"/>
          <w:b/>
          <w:bCs/>
        </w:rPr>
      </w:pPr>
    </w:p>
    <w:p w:rsidR="00AF2849" w:rsidRDefault="00AF2849" w:rsidP="00AF2849">
      <w:pPr>
        <w:rPr>
          <w:rFonts w:ascii="Arial" w:hAnsi="Arial" w:cs="Arial"/>
          <w:b/>
          <w:bCs/>
        </w:rPr>
      </w:pPr>
    </w:p>
    <w:p w:rsidR="00AF2849" w:rsidRDefault="00AF2849" w:rsidP="00AF2849">
      <w:pPr>
        <w:rPr>
          <w:rFonts w:ascii="Arial" w:hAnsi="Arial" w:cs="Arial"/>
          <w:b/>
          <w:bCs/>
        </w:rPr>
      </w:pPr>
    </w:p>
    <w:p w:rsidR="00AF2849" w:rsidRDefault="00AF2849" w:rsidP="00AF2849">
      <w:pPr>
        <w:rPr>
          <w:rFonts w:ascii="Arial" w:hAnsi="Arial" w:cs="Arial"/>
          <w:b/>
          <w:bCs/>
        </w:rPr>
      </w:pPr>
    </w:p>
    <w:p w:rsidR="00AF2849" w:rsidRDefault="00AF2849" w:rsidP="00AF2849">
      <w:pPr>
        <w:rPr>
          <w:rFonts w:ascii="Arial" w:hAnsi="Arial" w:cs="Arial"/>
          <w:b/>
          <w:bCs/>
        </w:rPr>
      </w:pPr>
    </w:p>
    <w:p w:rsidR="00AF2849" w:rsidRDefault="00AF2849" w:rsidP="00AF2849">
      <w:pPr>
        <w:rPr>
          <w:rFonts w:ascii="Arial" w:hAnsi="Arial" w:cs="Arial"/>
          <w:b/>
          <w:bCs/>
        </w:rPr>
      </w:pPr>
    </w:p>
    <w:p w:rsidR="00AF2849" w:rsidRDefault="00AF2849" w:rsidP="00AF2849">
      <w:pPr>
        <w:rPr>
          <w:rFonts w:ascii="Arial" w:hAnsi="Arial" w:cs="Arial"/>
          <w:b/>
          <w:bCs/>
        </w:rPr>
      </w:pPr>
    </w:p>
    <w:p w:rsidR="005A76B0" w:rsidRDefault="00E73D64" w:rsidP="00AF2849">
      <w:pPr>
        <w:rPr>
          <w:rFonts w:cs="Calibri"/>
          <w:b/>
          <w:bCs/>
          <w:sz w:val="24"/>
          <w:szCs w:val="24"/>
        </w:rPr>
      </w:pPr>
      <w:r w:rsidRPr="00BC7977">
        <w:rPr>
          <w:rFonts w:cs="Calibri"/>
          <w:b/>
          <w:bCs/>
          <w:sz w:val="24"/>
          <w:szCs w:val="24"/>
        </w:rPr>
        <w:t xml:space="preserve">                     </w:t>
      </w:r>
    </w:p>
    <w:p w:rsidR="001A52E1" w:rsidRDefault="001A52E1" w:rsidP="00AF2849">
      <w:pPr>
        <w:rPr>
          <w:rFonts w:cs="Calibri"/>
          <w:b/>
          <w:bCs/>
          <w:sz w:val="24"/>
          <w:szCs w:val="24"/>
        </w:rPr>
      </w:pPr>
    </w:p>
    <w:p w:rsidR="001A52E1" w:rsidRDefault="001A52E1" w:rsidP="00AF2849">
      <w:pPr>
        <w:rPr>
          <w:rFonts w:cs="Calibri"/>
          <w:b/>
          <w:bCs/>
          <w:sz w:val="24"/>
          <w:szCs w:val="24"/>
        </w:rPr>
      </w:pPr>
    </w:p>
    <w:p w:rsidR="001A52E1" w:rsidRDefault="001A52E1" w:rsidP="00AF2849">
      <w:pPr>
        <w:rPr>
          <w:rFonts w:cs="Calibri"/>
          <w:b/>
          <w:bCs/>
          <w:sz w:val="24"/>
          <w:szCs w:val="24"/>
        </w:rPr>
      </w:pPr>
    </w:p>
    <w:p w:rsidR="001A52E1" w:rsidRDefault="001A52E1" w:rsidP="00AF2849">
      <w:pPr>
        <w:rPr>
          <w:rFonts w:cs="Calibri"/>
          <w:b/>
          <w:bCs/>
          <w:sz w:val="24"/>
          <w:szCs w:val="24"/>
        </w:rPr>
      </w:pPr>
    </w:p>
    <w:p w:rsidR="005A76B0" w:rsidRDefault="005A76B0" w:rsidP="00AF2849">
      <w:pPr>
        <w:rPr>
          <w:rFonts w:cs="Calibri"/>
          <w:b/>
          <w:bCs/>
          <w:sz w:val="24"/>
          <w:szCs w:val="24"/>
        </w:rPr>
      </w:pPr>
    </w:p>
    <w:p w:rsidR="005A76B0" w:rsidRDefault="005A76B0" w:rsidP="00AF2849">
      <w:pPr>
        <w:rPr>
          <w:rFonts w:cs="Calibri"/>
          <w:b/>
          <w:bCs/>
          <w:sz w:val="24"/>
          <w:szCs w:val="24"/>
        </w:rPr>
      </w:pPr>
    </w:p>
    <w:p w:rsidR="00AF2849" w:rsidRDefault="00AF2849" w:rsidP="005A76B0">
      <w:pPr>
        <w:jc w:val="center"/>
        <w:rPr>
          <w:rFonts w:cs="Calibri"/>
          <w:b/>
          <w:bCs/>
          <w:sz w:val="24"/>
          <w:szCs w:val="24"/>
        </w:rPr>
      </w:pPr>
      <w:r w:rsidRPr="00BC7977">
        <w:rPr>
          <w:rFonts w:cs="Calibri"/>
          <w:b/>
          <w:bCs/>
          <w:sz w:val="24"/>
          <w:szCs w:val="24"/>
        </w:rPr>
        <w:t xml:space="preserve">OBRAZLOŽENJE </w:t>
      </w:r>
      <w:r w:rsidR="009A285B">
        <w:rPr>
          <w:rFonts w:cs="Calibri"/>
          <w:b/>
          <w:bCs/>
          <w:sz w:val="24"/>
          <w:szCs w:val="24"/>
        </w:rPr>
        <w:t xml:space="preserve">POSEBNOG DIJELA </w:t>
      </w:r>
      <w:r w:rsidR="00E7621D">
        <w:rPr>
          <w:rFonts w:cs="Calibri"/>
          <w:b/>
          <w:bCs/>
          <w:sz w:val="24"/>
          <w:szCs w:val="24"/>
        </w:rPr>
        <w:t xml:space="preserve">PRIJEDLOGA </w:t>
      </w:r>
      <w:r w:rsidRPr="00BC7977">
        <w:rPr>
          <w:rFonts w:cs="Calibri"/>
          <w:b/>
          <w:bCs/>
          <w:sz w:val="24"/>
          <w:szCs w:val="24"/>
        </w:rPr>
        <w:t>FINANCIJSKOG PLANA ZA 202</w:t>
      </w:r>
      <w:r w:rsidR="008F24A5">
        <w:rPr>
          <w:rFonts w:cs="Calibri"/>
          <w:b/>
          <w:bCs/>
          <w:sz w:val="24"/>
          <w:szCs w:val="24"/>
        </w:rPr>
        <w:t>5.</w:t>
      </w:r>
      <w:r w:rsidRPr="00BC7977">
        <w:rPr>
          <w:rFonts w:cs="Calibri"/>
          <w:b/>
          <w:bCs/>
          <w:sz w:val="24"/>
          <w:szCs w:val="24"/>
        </w:rPr>
        <w:t xml:space="preserve"> GODINU</w:t>
      </w:r>
    </w:p>
    <w:p w:rsidR="00AF2849" w:rsidRPr="008F24A5" w:rsidRDefault="008F24A5" w:rsidP="008F24A5">
      <w:pPr>
        <w:jc w:val="center"/>
        <w:rPr>
          <w:rFonts w:cs="Calibri"/>
          <w:b/>
          <w:bCs/>
          <w:sz w:val="24"/>
          <w:szCs w:val="24"/>
        </w:rPr>
      </w:pPr>
      <w:r w:rsidRPr="008F24A5">
        <w:rPr>
          <w:rFonts w:cs="Calibri"/>
          <w:b/>
          <w:bCs/>
          <w:sz w:val="24"/>
          <w:szCs w:val="24"/>
        </w:rPr>
        <w:t>S PROJEKCIJAMA ZA 2026. – 2027. GODINU</w:t>
      </w:r>
    </w:p>
    <w:p w:rsidR="00AF2849" w:rsidRPr="008F24A5" w:rsidRDefault="00AF2849" w:rsidP="008F24A5">
      <w:pPr>
        <w:jc w:val="center"/>
        <w:rPr>
          <w:rFonts w:cs="Calibri"/>
          <w:b/>
          <w:bCs/>
          <w:sz w:val="24"/>
          <w:szCs w:val="24"/>
        </w:rPr>
      </w:pPr>
    </w:p>
    <w:p w:rsidR="00AF2849" w:rsidRPr="00E851E8" w:rsidRDefault="00AF2849" w:rsidP="00AF2849">
      <w:pPr>
        <w:rPr>
          <w:rFonts w:cs="Calibri"/>
          <w:b/>
          <w:bCs/>
        </w:rPr>
      </w:pPr>
    </w:p>
    <w:p w:rsidR="00AF2849" w:rsidRPr="00E851E8" w:rsidRDefault="00AF2849" w:rsidP="00AF2849">
      <w:pPr>
        <w:rPr>
          <w:rFonts w:cs="Calibri"/>
          <w:b/>
          <w:bCs/>
        </w:rPr>
      </w:pPr>
    </w:p>
    <w:p w:rsidR="00AF2849" w:rsidRPr="00E851E8" w:rsidRDefault="00AF2849" w:rsidP="00AF2849">
      <w:pPr>
        <w:rPr>
          <w:rFonts w:cs="Calibri"/>
          <w:b/>
          <w:bCs/>
        </w:rPr>
      </w:pPr>
    </w:p>
    <w:p w:rsidR="00AF2849" w:rsidRPr="00E851E8" w:rsidRDefault="00AF2849" w:rsidP="00AF2849">
      <w:pPr>
        <w:rPr>
          <w:rFonts w:cs="Calibri"/>
          <w:b/>
          <w:bCs/>
        </w:rPr>
      </w:pPr>
    </w:p>
    <w:p w:rsidR="00AF2849" w:rsidRDefault="00AF2849" w:rsidP="00AF2849">
      <w:pPr>
        <w:rPr>
          <w:rFonts w:cs="Calibri"/>
          <w:b/>
          <w:bCs/>
        </w:rPr>
      </w:pPr>
    </w:p>
    <w:p w:rsidR="004721C3" w:rsidRDefault="004721C3" w:rsidP="00AF2849">
      <w:pPr>
        <w:rPr>
          <w:rFonts w:cs="Calibri"/>
          <w:b/>
          <w:bCs/>
        </w:rPr>
      </w:pPr>
    </w:p>
    <w:p w:rsidR="004721C3" w:rsidRDefault="004721C3" w:rsidP="00AF2849">
      <w:pPr>
        <w:rPr>
          <w:rFonts w:cs="Calibri"/>
          <w:b/>
          <w:bCs/>
        </w:rPr>
      </w:pPr>
    </w:p>
    <w:p w:rsidR="004721C3" w:rsidRDefault="004721C3" w:rsidP="00AF2849">
      <w:pPr>
        <w:rPr>
          <w:rFonts w:cs="Calibri"/>
          <w:b/>
          <w:bCs/>
        </w:rPr>
      </w:pPr>
    </w:p>
    <w:p w:rsidR="004721C3" w:rsidRDefault="004721C3" w:rsidP="00AF2849">
      <w:pPr>
        <w:rPr>
          <w:rFonts w:cs="Calibri"/>
          <w:b/>
          <w:bCs/>
        </w:rPr>
      </w:pPr>
    </w:p>
    <w:p w:rsidR="004721C3" w:rsidRDefault="004721C3" w:rsidP="00AF2849">
      <w:pPr>
        <w:rPr>
          <w:rFonts w:cs="Calibri"/>
          <w:b/>
          <w:bCs/>
        </w:rPr>
      </w:pPr>
    </w:p>
    <w:p w:rsidR="004721C3" w:rsidRDefault="004721C3" w:rsidP="00AF2849">
      <w:pPr>
        <w:rPr>
          <w:rFonts w:cs="Calibri"/>
          <w:b/>
          <w:bCs/>
        </w:rPr>
      </w:pPr>
    </w:p>
    <w:p w:rsidR="004721C3" w:rsidRDefault="004721C3" w:rsidP="00AF2849">
      <w:pPr>
        <w:rPr>
          <w:rFonts w:cs="Calibri"/>
          <w:b/>
          <w:bCs/>
        </w:rPr>
      </w:pPr>
    </w:p>
    <w:p w:rsidR="004721C3" w:rsidRDefault="004721C3" w:rsidP="00AF2849">
      <w:pPr>
        <w:rPr>
          <w:rFonts w:cs="Calibri"/>
          <w:b/>
          <w:bCs/>
        </w:rPr>
      </w:pPr>
    </w:p>
    <w:p w:rsidR="004721C3" w:rsidRDefault="004721C3" w:rsidP="00AF2849">
      <w:pPr>
        <w:rPr>
          <w:rFonts w:cs="Calibri"/>
          <w:b/>
          <w:bCs/>
        </w:rPr>
      </w:pPr>
    </w:p>
    <w:p w:rsidR="004721C3" w:rsidRDefault="004721C3" w:rsidP="00AF2849">
      <w:pPr>
        <w:rPr>
          <w:rFonts w:cs="Calibri"/>
          <w:b/>
          <w:bCs/>
        </w:rPr>
      </w:pPr>
    </w:p>
    <w:p w:rsidR="004721C3" w:rsidRDefault="004721C3" w:rsidP="00AF2849">
      <w:pPr>
        <w:rPr>
          <w:rFonts w:cs="Calibri"/>
          <w:b/>
          <w:bCs/>
        </w:rPr>
      </w:pPr>
    </w:p>
    <w:p w:rsidR="004721C3" w:rsidRDefault="004721C3" w:rsidP="00AF2849">
      <w:pPr>
        <w:rPr>
          <w:rFonts w:cs="Calibri"/>
          <w:b/>
          <w:bCs/>
        </w:rPr>
      </w:pPr>
    </w:p>
    <w:p w:rsidR="004721C3" w:rsidRDefault="004721C3" w:rsidP="00AF2849">
      <w:pPr>
        <w:rPr>
          <w:rFonts w:cs="Calibri"/>
          <w:b/>
          <w:bCs/>
        </w:rPr>
      </w:pPr>
    </w:p>
    <w:p w:rsidR="004721C3" w:rsidRDefault="004721C3" w:rsidP="00AF2849">
      <w:pPr>
        <w:rPr>
          <w:rFonts w:cs="Calibri"/>
          <w:b/>
          <w:bCs/>
        </w:rPr>
      </w:pPr>
    </w:p>
    <w:p w:rsidR="004721C3" w:rsidRDefault="004721C3" w:rsidP="00AF2849">
      <w:pPr>
        <w:rPr>
          <w:rFonts w:cs="Calibri"/>
          <w:b/>
          <w:bCs/>
        </w:rPr>
      </w:pPr>
    </w:p>
    <w:p w:rsidR="004721C3" w:rsidRDefault="004721C3" w:rsidP="00AF2849">
      <w:pPr>
        <w:rPr>
          <w:rFonts w:cs="Calibri"/>
          <w:b/>
          <w:bCs/>
        </w:rPr>
      </w:pPr>
    </w:p>
    <w:p w:rsidR="00AF2849" w:rsidRPr="00E851E8" w:rsidRDefault="00AF2849" w:rsidP="00AF2849">
      <w:pPr>
        <w:rPr>
          <w:rFonts w:cs="Calibri"/>
          <w:b/>
          <w:bCs/>
        </w:rPr>
      </w:pPr>
    </w:p>
    <w:p w:rsidR="00AF2849" w:rsidRPr="00E851E8" w:rsidRDefault="00AF2849" w:rsidP="00AF2849">
      <w:pPr>
        <w:pStyle w:val="Odlomakpopisa"/>
        <w:ind w:left="502"/>
        <w:rPr>
          <w:rFonts w:cs="Calibri"/>
          <w:b/>
          <w:bCs/>
        </w:rPr>
      </w:pPr>
    </w:p>
    <w:p w:rsidR="00AF2849" w:rsidRPr="004721C3" w:rsidRDefault="00AF2849" w:rsidP="004721C3">
      <w:pPr>
        <w:rPr>
          <w:rFonts w:cs="Calibri"/>
          <w:b/>
          <w:bCs/>
        </w:rPr>
      </w:pPr>
    </w:p>
    <w:p w:rsidR="00AF2849" w:rsidRPr="00BC7977" w:rsidRDefault="005D3A4D" w:rsidP="00E851E8">
      <w:pPr>
        <w:pStyle w:val="Odlomakpopisa"/>
        <w:numPr>
          <w:ilvl w:val="0"/>
          <w:numId w:val="14"/>
        </w:numPr>
        <w:rPr>
          <w:rFonts w:cs="Calibri"/>
          <w:b/>
          <w:bCs/>
          <w:sz w:val="24"/>
          <w:szCs w:val="24"/>
        </w:rPr>
      </w:pPr>
      <w:r w:rsidRPr="00E851E8">
        <w:rPr>
          <w:rFonts w:cs="Calibri"/>
          <w:b/>
          <w:bCs/>
        </w:rPr>
        <w:br w:type="page"/>
      </w:r>
      <w:r w:rsidR="00AF2849" w:rsidRPr="00BC7977">
        <w:rPr>
          <w:rFonts w:cs="Calibri"/>
          <w:b/>
          <w:bCs/>
          <w:sz w:val="24"/>
          <w:szCs w:val="24"/>
        </w:rPr>
        <w:lastRenderedPageBreak/>
        <w:t>UVOD – SAŽETAK DJELOKRUGA RADA</w:t>
      </w:r>
    </w:p>
    <w:p w:rsidR="00AF2849" w:rsidRPr="00E851E8" w:rsidRDefault="00AF2849" w:rsidP="00AF2849">
      <w:pPr>
        <w:pStyle w:val="Odlomakpopisa"/>
        <w:ind w:left="502"/>
        <w:rPr>
          <w:rFonts w:cs="Calibri"/>
          <w:b/>
          <w:bCs/>
          <w:sz w:val="24"/>
          <w:szCs w:val="24"/>
        </w:rPr>
      </w:pPr>
    </w:p>
    <w:p w:rsidR="00AF2849" w:rsidRPr="00ED32E7" w:rsidRDefault="00AF2849" w:rsidP="004770AC">
      <w:pPr>
        <w:jc w:val="both"/>
        <w:rPr>
          <w:rFonts w:cs="Calibri"/>
          <w:sz w:val="24"/>
          <w:szCs w:val="24"/>
        </w:rPr>
      </w:pPr>
      <w:r w:rsidRPr="00ED32E7">
        <w:rPr>
          <w:rFonts w:cs="Calibri"/>
          <w:sz w:val="24"/>
          <w:szCs w:val="24"/>
        </w:rPr>
        <w:t xml:space="preserve">Medicinski fakultet je javno visoko učilište u sastavu Sveučilišta u Zagrebu, koji ustrojava i izvodi sveučilišne studije, znanstveni i visokostručni rad u području Biomedicine i zdravstva. Fakultet je pravna osoba sa statusom javne ustanove koji </w:t>
      </w:r>
      <w:r w:rsidR="001C3EA5" w:rsidRPr="00ED32E7">
        <w:rPr>
          <w:rFonts w:cs="Calibri"/>
          <w:sz w:val="24"/>
          <w:szCs w:val="24"/>
        </w:rPr>
        <w:t>svoju djelatnost ostvaruje obrazovanjem doktora medicine</w:t>
      </w:r>
      <w:r w:rsidR="00E851E8" w:rsidRPr="00ED32E7">
        <w:rPr>
          <w:rFonts w:cs="Calibri"/>
          <w:sz w:val="24"/>
          <w:szCs w:val="24"/>
        </w:rPr>
        <w:t>.</w:t>
      </w:r>
      <w:r w:rsidR="00C04B3C">
        <w:rPr>
          <w:rFonts w:cs="Calibri"/>
          <w:sz w:val="24"/>
          <w:szCs w:val="24"/>
        </w:rPr>
        <w:t xml:space="preserve"> K</w:t>
      </w:r>
      <w:r w:rsidR="001C3EA5" w:rsidRPr="00ED32E7">
        <w:rPr>
          <w:rFonts w:cs="Calibri"/>
          <w:sz w:val="24"/>
          <w:szCs w:val="24"/>
        </w:rPr>
        <w:t>roz integrirani preddiplomski i diplomski sveučilišni studij</w:t>
      </w:r>
      <w:r w:rsidR="006C6129" w:rsidRPr="00ED32E7">
        <w:rPr>
          <w:rFonts w:cs="Calibri"/>
          <w:sz w:val="24"/>
          <w:szCs w:val="24"/>
        </w:rPr>
        <w:t xml:space="preserve"> Medicine na hrvatskom jeziku i na engleskom jeziku, sveučilišni diplomski studij sestrinstva, poslijediplomske specijalističke studije, sveučilišne doktorske studije Biomedicine i zdravstva na hrvatskom i engleskom jeziku te sveučilišni doktor</w:t>
      </w:r>
      <w:r w:rsidR="008B372C" w:rsidRPr="00ED32E7">
        <w:rPr>
          <w:rFonts w:cs="Calibri"/>
          <w:sz w:val="24"/>
          <w:szCs w:val="24"/>
        </w:rPr>
        <w:t xml:space="preserve">ski studij </w:t>
      </w:r>
      <w:proofErr w:type="spellStart"/>
      <w:r w:rsidR="008B372C" w:rsidRPr="00ED32E7">
        <w:rPr>
          <w:rFonts w:cs="Calibri"/>
          <w:sz w:val="24"/>
          <w:szCs w:val="24"/>
        </w:rPr>
        <w:t>Neuroznanost</w:t>
      </w:r>
      <w:proofErr w:type="spellEnd"/>
      <w:r w:rsidR="008B372C" w:rsidRPr="00ED32E7">
        <w:rPr>
          <w:rFonts w:cs="Calibri"/>
          <w:sz w:val="24"/>
          <w:szCs w:val="24"/>
        </w:rPr>
        <w:t>.</w:t>
      </w:r>
      <w:r w:rsidR="006C6129" w:rsidRPr="00ED32E7">
        <w:rPr>
          <w:rFonts w:cs="Calibri"/>
          <w:sz w:val="24"/>
          <w:szCs w:val="24"/>
        </w:rPr>
        <w:t xml:space="preserve"> </w:t>
      </w:r>
    </w:p>
    <w:p w:rsidR="006367FC" w:rsidRPr="00ED32E7" w:rsidRDefault="006367FC" w:rsidP="004770AC">
      <w:pPr>
        <w:jc w:val="both"/>
        <w:rPr>
          <w:rFonts w:cs="Calibri"/>
          <w:sz w:val="24"/>
          <w:szCs w:val="24"/>
        </w:rPr>
      </w:pPr>
    </w:p>
    <w:p w:rsidR="006367FC" w:rsidRPr="00ED32E7" w:rsidRDefault="00080295" w:rsidP="004770AC">
      <w:pPr>
        <w:jc w:val="both"/>
        <w:rPr>
          <w:rFonts w:cs="Calibri"/>
          <w:sz w:val="24"/>
          <w:szCs w:val="24"/>
        </w:rPr>
      </w:pPr>
      <w:r w:rsidRPr="00ED32E7">
        <w:rPr>
          <w:rFonts w:cs="Calibri"/>
          <w:sz w:val="24"/>
          <w:szCs w:val="24"/>
        </w:rPr>
        <w:t xml:space="preserve">Medicinski fakultet Sveučilišta u Zagrebu najstarija je takva ustanova u ovom dijelu Europe, a svojom veličinom i znanstveno-nastavnom kvalitetom jedna je od vodećih sastavnica Sveučilišta u Zagrebu i jedan od najboljih fakulteta u Republici Hrvatskoj. Uloga Medicinskog fakulteta u razvoju biomedicine kao znanosti i struke kako u </w:t>
      </w:r>
      <w:r w:rsidR="00881DF7" w:rsidRPr="00ED32E7">
        <w:rPr>
          <w:rFonts w:cs="Calibri"/>
          <w:sz w:val="24"/>
          <w:szCs w:val="24"/>
        </w:rPr>
        <w:t>R</w:t>
      </w:r>
      <w:r w:rsidRPr="00ED32E7">
        <w:rPr>
          <w:rFonts w:cs="Calibri"/>
          <w:sz w:val="24"/>
          <w:szCs w:val="24"/>
        </w:rPr>
        <w:t>epublici Hrvatskoj tako i u susjednim zemljama, neprocjenjiva je. Treba</w:t>
      </w:r>
      <w:r w:rsidR="006367FC" w:rsidRPr="00ED32E7">
        <w:rPr>
          <w:rFonts w:cs="Calibri"/>
          <w:sz w:val="24"/>
          <w:szCs w:val="24"/>
        </w:rPr>
        <w:t xml:space="preserve"> istaknut</w:t>
      </w:r>
      <w:r w:rsidR="00C04B3C">
        <w:rPr>
          <w:rFonts w:cs="Calibri"/>
          <w:sz w:val="24"/>
          <w:szCs w:val="24"/>
        </w:rPr>
        <w:t>i</w:t>
      </w:r>
      <w:r w:rsidRPr="00ED32E7">
        <w:rPr>
          <w:rFonts w:cs="Calibri"/>
          <w:sz w:val="24"/>
          <w:szCs w:val="24"/>
        </w:rPr>
        <w:t xml:space="preserve"> kako je zagrebački Medicinski fakultet osnivač svih ostalih medicinskih fakulteta u Hrvatskoj, na sveučilištima u Rijeci, Splitu i Osijeku, te više njih u susjednim zemljama. Naš fakultet nemjerljive je vrijednosti za Hrvatsku i za sve ljude koji žive u njoj jer je omogućio i omogućuje izobrazbu brojnih naraštaja hrvatskih liječnika i medicinski sestara od diplomske razine do najviših akademskih i specijalističkih razina.</w:t>
      </w:r>
    </w:p>
    <w:p w:rsidR="006367FC" w:rsidRPr="00ED32E7" w:rsidRDefault="006367FC" w:rsidP="004770AC">
      <w:pPr>
        <w:jc w:val="both"/>
        <w:rPr>
          <w:rFonts w:cs="Calibri"/>
          <w:sz w:val="24"/>
          <w:szCs w:val="24"/>
        </w:rPr>
      </w:pPr>
    </w:p>
    <w:p w:rsidR="005D3A4D" w:rsidRPr="00ED32E7" w:rsidRDefault="006367FC" w:rsidP="004770AC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ED32E7">
        <w:rPr>
          <w:rFonts w:ascii="Calibri" w:hAnsi="Calibri" w:cs="Calibri"/>
        </w:rPr>
        <w:t>Misija Medicinskog fakulteta Sveučilišta</w:t>
      </w:r>
      <w:r w:rsidR="00C04B3C">
        <w:rPr>
          <w:rFonts w:ascii="Calibri" w:hAnsi="Calibri" w:cs="Calibri"/>
        </w:rPr>
        <w:t xml:space="preserve"> u Zagrebu obuhvaća nastojanje F</w:t>
      </w:r>
      <w:r w:rsidRPr="00ED32E7">
        <w:rPr>
          <w:rFonts w:ascii="Calibri" w:hAnsi="Calibri" w:cs="Calibri"/>
        </w:rPr>
        <w:t xml:space="preserve">akulteta da obrazuje </w:t>
      </w:r>
      <w:r w:rsidR="005D3A4D" w:rsidRPr="00ED32E7">
        <w:rPr>
          <w:rFonts w:ascii="Calibri" w:hAnsi="Calibri" w:cs="Calibri"/>
        </w:rPr>
        <w:t>kompetentne zdravstvene djelatnike koji će svojim znanjem unaprijediti medicinsku praksu,   obrazovanje i znanost.</w:t>
      </w:r>
    </w:p>
    <w:p w:rsidR="005D3A4D" w:rsidRPr="00ED32E7" w:rsidRDefault="005D3A4D" w:rsidP="004770AC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ED32E7">
        <w:rPr>
          <w:rFonts w:ascii="Calibri" w:hAnsi="Calibri" w:cs="Calibri"/>
        </w:rPr>
        <w:t>Cilj Fakulteta je upisati izvrsne studente koji će razumjeti teorijske i praktične, psihološke,  sociološke, ekonomske i kulturne čimbenike koji utječu na zdravlje i bolest, biti spremni posvetiti</w:t>
      </w:r>
      <w:r w:rsidR="004770AC" w:rsidRPr="00ED32E7">
        <w:rPr>
          <w:rFonts w:ascii="Calibri" w:hAnsi="Calibri" w:cs="Calibri"/>
        </w:rPr>
        <w:t xml:space="preserve"> </w:t>
      </w:r>
      <w:r w:rsidRPr="00ED32E7">
        <w:rPr>
          <w:rFonts w:ascii="Calibri" w:hAnsi="Calibri" w:cs="Calibri"/>
        </w:rPr>
        <w:t>se skrbi za svoje bolesnike, poduzeti potrebne postupke i pokazati suosjećanje prema bolesniku</w:t>
      </w:r>
      <w:r w:rsidR="004770AC" w:rsidRPr="00ED32E7">
        <w:rPr>
          <w:rFonts w:ascii="Calibri" w:hAnsi="Calibri" w:cs="Calibri"/>
        </w:rPr>
        <w:t xml:space="preserve"> </w:t>
      </w:r>
      <w:r w:rsidRPr="00ED32E7">
        <w:rPr>
          <w:rFonts w:ascii="Calibri" w:hAnsi="Calibri" w:cs="Calibri"/>
        </w:rPr>
        <w:t>i njegovim bližnjima te raditi na promicanju zdravlja pojedinca i zajednice. Medicinski fakultet želi</w:t>
      </w:r>
      <w:r w:rsidR="004770AC" w:rsidRPr="00ED32E7">
        <w:rPr>
          <w:rFonts w:ascii="Calibri" w:hAnsi="Calibri" w:cs="Calibri"/>
        </w:rPr>
        <w:t xml:space="preserve"> </w:t>
      </w:r>
      <w:r w:rsidRPr="00ED32E7">
        <w:rPr>
          <w:rFonts w:ascii="Calibri" w:hAnsi="Calibri" w:cs="Calibri"/>
        </w:rPr>
        <w:t>ponuditi program koji je usmjeren prema studentu, integrira temeljne znanosti, izvrsno kliničko obrazovanje, stručne standarde i etička načela, primjenjuje najbolje metode obrazovanja te prepoznaje i nagrađuje najbolje studente.</w:t>
      </w:r>
    </w:p>
    <w:p w:rsidR="005D3A4D" w:rsidRPr="00ED32E7" w:rsidRDefault="005D3A4D" w:rsidP="004770AC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ED32E7">
        <w:rPr>
          <w:rFonts w:ascii="Calibri" w:hAnsi="Calibri" w:cs="Calibri"/>
        </w:rPr>
        <w:t>Istraživačka misija Medicinskog fakulteta sastoji se od provedbe istraživačkih programa koji se temelje na suradnji, usmjereni su prema inovacijama te povezuju znanstvenike iz područja temeljnih, javnozdravstvenih i kliničkih znanosti.</w:t>
      </w:r>
    </w:p>
    <w:p w:rsidR="005D3A4D" w:rsidRPr="00ED32E7" w:rsidRDefault="005D3A4D" w:rsidP="004770AC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ED32E7">
        <w:rPr>
          <w:rFonts w:ascii="Calibri" w:hAnsi="Calibri" w:cs="Calibri"/>
        </w:rPr>
        <w:t xml:space="preserve"> </w:t>
      </w:r>
    </w:p>
    <w:p w:rsidR="005D3A4D" w:rsidRPr="00ED32E7" w:rsidRDefault="005D3A4D" w:rsidP="004770AC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ED32E7">
        <w:rPr>
          <w:rFonts w:ascii="Calibri" w:hAnsi="Calibri" w:cs="Calibri"/>
        </w:rPr>
        <w:t>Fakultet želi stvoriti poticajno intelektualno okružje, promovirati znanstvene i humanitarne aspekte medicinske prakse uz istodobnu provedbu znanstvenih istraživanja u okvirima međunarodnih i nacionalnih projekata koji rezultiraju napretkom znanosti, primjenom u nastavnom procesu i unaprjeđenju zdravstvene skrbi.</w:t>
      </w:r>
    </w:p>
    <w:p w:rsidR="00D357FB" w:rsidRPr="00ED32E7" w:rsidRDefault="00D357FB" w:rsidP="004770AC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D357FB" w:rsidRPr="00ED32E7" w:rsidRDefault="00BB7263" w:rsidP="004770AC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Nakon dva potresa u 2020. f</w:t>
      </w:r>
      <w:r w:rsidR="00587C93" w:rsidRPr="00ED32E7">
        <w:rPr>
          <w:rFonts w:ascii="Calibri" w:hAnsi="Calibri" w:cs="Calibri"/>
        </w:rPr>
        <w:t xml:space="preserve">akultet je pretrpio ozbiljna oštećenja na zgradama. </w:t>
      </w:r>
      <w:r w:rsidR="00DC1DAE">
        <w:rPr>
          <w:rFonts w:ascii="Calibri" w:hAnsi="Calibri" w:cs="Calibri"/>
        </w:rPr>
        <w:t xml:space="preserve">Radovi na obnovi stradalih zgrada još uvijek traju. </w:t>
      </w:r>
      <w:r w:rsidR="008F24A5">
        <w:rPr>
          <w:rFonts w:ascii="Calibri" w:hAnsi="Calibri" w:cs="Calibri"/>
        </w:rPr>
        <w:t>Cjelovita obnova dviju zgrada je uspješno završeno, do kraja godine očekujemo završetak još jedne zgrade, a do ljeta slijedeće godine i završetak posljednje zgrade. Suočeni s novim izazovima povrata u obnovljene zgrade (organizacija povrata namještaja i ljudi, ponovo uređenje obnovljenih prostorija koje u određenim slučajevima imaju i drugačije dimenzije radi ojačanja na konstrukciji koja su napravljena) nastojimo najuspješnije riješiti cijelu situaciju na zadovoljstvo svih. K</w:t>
      </w:r>
      <w:r w:rsidR="00D357FB" w:rsidRPr="00ED32E7">
        <w:rPr>
          <w:rFonts w:ascii="Calibri" w:hAnsi="Calibri" w:cs="Calibri"/>
        </w:rPr>
        <w:t>ako bi se nastava i sve ostale aktivnosti mogle nastaviti p</w:t>
      </w:r>
      <w:r w:rsidR="002A0FB9" w:rsidRPr="00ED32E7">
        <w:rPr>
          <w:rFonts w:ascii="Calibri" w:hAnsi="Calibri" w:cs="Calibri"/>
        </w:rPr>
        <w:t xml:space="preserve">rovoditi </w:t>
      </w:r>
      <w:r w:rsidR="008F24A5">
        <w:rPr>
          <w:rFonts w:ascii="Calibri" w:hAnsi="Calibri" w:cs="Calibri"/>
        </w:rPr>
        <w:t xml:space="preserve">neometano </w:t>
      </w:r>
      <w:r w:rsidR="002A0FB9" w:rsidRPr="00ED32E7">
        <w:rPr>
          <w:rFonts w:ascii="Calibri" w:hAnsi="Calibri" w:cs="Calibri"/>
        </w:rPr>
        <w:t xml:space="preserve">u </w:t>
      </w:r>
      <w:r w:rsidR="00587C93" w:rsidRPr="00ED32E7">
        <w:rPr>
          <w:rFonts w:ascii="Calibri" w:hAnsi="Calibri" w:cs="Calibri"/>
        </w:rPr>
        <w:t xml:space="preserve">za to predviđenim kabinetima i laboratorijima. </w:t>
      </w:r>
    </w:p>
    <w:p w:rsidR="005D3A4D" w:rsidRPr="00E851E8" w:rsidRDefault="005D3A4D" w:rsidP="004770AC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2A0FB9" w:rsidRPr="008F24A5" w:rsidRDefault="002A0FB9" w:rsidP="008F24A5">
      <w:pPr>
        <w:rPr>
          <w:b/>
          <w:sz w:val="24"/>
          <w:szCs w:val="24"/>
        </w:rPr>
      </w:pPr>
      <w:proofErr w:type="spellStart"/>
      <w:r w:rsidRPr="00F72A3D">
        <w:rPr>
          <w:b/>
          <w:i/>
          <w:sz w:val="24"/>
          <w:szCs w:val="24"/>
        </w:rPr>
        <w:t>A621001</w:t>
      </w:r>
      <w:proofErr w:type="spellEnd"/>
      <w:r w:rsidRPr="00F72A3D">
        <w:rPr>
          <w:b/>
          <w:i/>
          <w:sz w:val="24"/>
          <w:szCs w:val="24"/>
        </w:rPr>
        <w:t xml:space="preserve"> Redovna djelatnost Sveučilišta u Zagrebu</w:t>
      </w:r>
    </w:p>
    <w:p w:rsidR="008F24A5" w:rsidRDefault="008F24A5" w:rsidP="00E851E8">
      <w:pPr>
        <w:spacing w:after="176" w:line="252" w:lineRule="auto"/>
        <w:ind w:left="326" w:right="4"/>
        <w:jc w:val="both"/>
        <w:rPr>
          <w:sz w:val="24"/>
          <w:szCs w:val="24"/>
        </w:rPr>
      </w:pPr>
    </w:p>
    <w:p w:rsidR="00E851E8" w:rsidRPr="00F72A3D" w:rsidRDefault="002A0FB9" w:rsidP="00E851E8">
      <w:pPr>
        <w:spacing w:after="176" w:line="252" w:lineRule="auto"/>
        <w:ind w:left="326" w:right="4"/>
        <w:jc w:val="both"/>
        <w:rPr>
          <w:sz w:val="24"/>
          <w:szCs w:val="24"/>
        </w:rPr>
      </w:pPr>
      <w:r w:rsidRPr="00F72A3D">
        <w:rPr>
          <w:sz w:val="24"/>
          <w:szCs w:val="24"/>
        </w:rPr>
        <w:t>Zakonske i druge pravne osnove</w:t>
      </w:r>
    </w:p>
    <w:p w:rsidR="002A0FB9" w:rsidRDefault="002A0FB9" w:rsidP="00E851E8">
      <w:pPr>
        <w:spacing w:after="176" w:line="252" w:lineRule="auto"/>
        <w:ind w:left="326" w:right="4"/>
        <w:jc w:val="both"/>
        <w:rPr>
          <w:sz w:val="24"/>
          <w:szCs w:val="24"/>
        </w:rPr>
      </w:pPr>
      <w:r w:rsidRPr="002A0FB9">
        <w:rPr>
          <w:sz w:val="24"/>
          <w:szCs w:val="24"/>
        </w:rPr>
        <w:t>- Zakon o znanstvenoj djelatnosti i visokom obrazovanju</w:t>
      </w:r>
    </w:p>
    <w:p w:rsidR="002A0FB9" w:rsidRDefault="002A0FB9" w:rsidP="00E851E8">
      <w:pPr>
        <w:spacing w:after="176" w:line="252" w:lineRule="auto"/>
        <w:ind w:left="326" w:right="4"/>
        <w:jc w:val="both"/>
        <w:rPr>
          <w:sz w:val="24"/>
          <w:szCs w:val="24"/>
        </w:rPr>
      </w:pPr>
      <w:r>
        <w:rPr>
          <w:sz w:val="24"/>
          <w:szCs w:val="24"/>
        </w:rPr>
        <w:t>- Uredba o nazivima radnih mjesta i koeficijenata složenosti poslova u javnim službama</w:t>
      </w:r>
    </w:p>
    <w:p w:rsidR="002A0FB9" w:rsidRDefault="002A0FB9" w:rsidP="00E851E8">
      <w:pPr>
        <w:spacing w:after="176" w:line="252" w:lineRule="auto"/>
        <w:ind w:left="326" w:right="4"/>
        <w:jc w:val="both"/>
        <w:rPr>
          <w:sz w:val="24"/>
          <w:szCs w:val="24"/>
        </w:rPr>
      </w:pPr>
      <w:r>
        <w:rPr>
          <w:sz w:val="24"/>
          <w:szCs w:val="24"/>
        </w:rPr>
        <w:t>- Temeljni kolektivni ugovor za službenike i namještenike u javnim službama</w:t>
      </w:r>
    </w:p>
    <w:p w:rsidR="002A0FB9" w:rsidRDefault="002A0FB9" w:rsidP="00E851E8">
      <w:pPr>
        <w:spacing w:after="176" w:line="252" w:lineRule="auto"/>
        <w:ind w:left="326" w:right="4"/>
        <w:jc w:val="both"/>
        <w:rPr>
          <w:sz w:val="24"/>
          <w:szCs w:val="24"/>
        </w:rPr>
      </w:pPr>
      <w:r>
        <w:rPr>
          <w:sz w:val="24"/>
          <w:szCs w:val="24"/>
        </w:rPr>
        <w:t>- Kolektivni ugovor za znanost i visoko obrazovanje</w:t>
      </w:r>
    </w:p>
    <w:p w:rsidR="002A0FB9" w:rsidRDefault="002A0FB9" w:rsidP="00E851E8">
      <w:pPr>
        <w:spacing w:after="176" w:line="252" w:lineRule="auto"/>
        <w:ind w:left="326" w:right="4"/>
        <w:jc w:val="both"/>
        <w:rPr>
          <w:sz w:val="24"/>
          <w:szCs w:val="24"/>
        </w:rPr>
      </w:pPr>
      <w:r>
        <w:rPr>
          <w:sz w:val="24"/>
          <w:szCs w:val="24"/>
        </w:rPr>
        <w:t>- Zakon o ustanovama</w:t>
      </w:r>
    </w:p>
    <w:p w:rsidR="002A0FB9" w:rsidRDefault="002A0FB9" w:rsidP="00E851E8">
      <w:pPr>
        <w:spacing w:after="176" w:line="252" w:lineRule="auto"/>
        <w:ind w:left="326"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Upute za izradu </w:t>
      </w:r>
      <w:r w:rsidR="008F24A5">
        <w:rPr>
          <w:sz w:val="24"/>
          <w:szCs w:val="24"/>
        </w:rPr>
        <w:t>i dostavu financijskih planova proračunskih korisnika</w:t>
      </w:r>
      <w:r>
        <w:rPr>
          <w:sz w:val="24"/>
          <w:szCs w:val="24"/>
        </w:rPr>
        <w:t xml:space="preserve"> razdjela 080 – Ministarstvo znanosti i obrazovanja za razdoblje</w:t>
      </w:r>
      <w:r w:rsidR="008F24A5">
        <w:rPr>
          <w:sz w:val="24"/>
          <w:szCs w:val="24"/>
        </w:rPr>
        <w:t xml:space="preserve"> </w:t>
      </w:r>
      <w:r w:rsidR="00246108">
        <w:rPr>
          <w:sz w:val="24"/>
          <w:szCs w:val="24"/>
        </w:rPr>
        <w:t>202</w:t>
      </w:r>
      <w:r w:rsidR="008F24A5">
        <w:rPr>
          <w:sz w:val="24"/>
          <w:szCs w:val="24"/>
        </w:rPr>
        <w:t>5</w:t>
      </w:r>
      <w:r w:rsidR="00246108">
        <w:rPr>
          <w:sz w:val="24"/>
          <w:szCs w:val="24"/>
        </w:rPr>
        <w:t>. – 202</w:t>
      </w:r>
      <w:r w:rsidR="008F24A5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246108" w:rsidRDefault="00246108" w:rsidP="00E851E8">
      <w:pPr>
        <w:spacing w:after="176" w:line="252" w:lineRule="auto"/>
        <w:ind w:left="326" w:right="4"/>
        <w:jc w:val="both"/>
        <w:rPr>
          <w:sz w:val="24"/>
          <w:szCs w:val="24"/>
        </w:rPr>
      </w:pPr>
    </w:p>
    <w:tbl>
      <w:tblPr>
        <w:tblStyle w:val="Reetkatablice"/>
        <w:tblW w:w="0" w:type="auto"/>
        <w:tblInd w:w="326" w:type="dxa"/>
        <w:tblLook w:val="04A0" w:firstRow="1" w:lastRow="0" w:firstColumn="1" w:lastColumn="0" w:noHBand="0" w:noVBand="1"/>
      </w:tblPr>
      <w:tblGrid>
        <w:gridCol w:w="1751"/>
        <w:gridCol w:w="1651"/>
        <w:gridCol w:w="1651"/>
        <w:gridCol w:w="1651"/>
        <w:gridCol w:w="1651"/>
        <w:gridCol w:w="1507"/>
      </w:tblGrid>
      <w:tr w:rsidR="001C0B4B" w:rsidTr="001C0B4B">
        <w:tc>
          <w:tcPr>
            <w:tcW w:w="1751" w:type="dxa"/>
          </w:tcPr>
          <w:p w:rsidR="001C0B4B" w:rsidRDefault="001C0B4B" w:rsidP="00E851E8">
            <w:pPr>
              <w:spacing w:after="176" w:line="252" w:lineRule="auto"/>
              <w:ind w:right="4"/>
              <w:jc w:val="bot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C0B4B" w:rsidRDefault="001C0B4B" w:rsidP="008F24A5">
            <w:pPr>
              <w:spacing w:after="176" w:line="252" w:lineRule="auto"/>
              <w:ind w:righ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202</w:t>
            </w:r>
            <w:r w:rsidR="008F24A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1C0B4B" w:rsidRDefault="001C0B4B" w:rsidP="008F24A5">
            <w:pPr>
              <w:spacing w:after="176" w:line="252" w:lineRule="auto"/>
              <w:ind w:righ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202</w:t>
            </w:r>
            <w:r w:rsidR="008F24A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1C0B4B" w:rsidRDefault="001C0B4B" w:rsidP="008F24A5">
            <w:pPr>
              <w:spacing w:after="176" w:line="252" w:lineRule="auto"/>
              <w:ind w:righ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202</w:t>
            </w:r>
            <w:r w:rsidR="008F24A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1C0B4B" w:rsidRDefault="001C0B4B" w:rsidP="008F24A5">
            <w:pPr>
              <w:spacing w:after="176" w:line="252" w:lineRule="auto"/>
              <w:ind w:righ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202</w:t>
            </w:r>
            <w:r w:rsidR="008F24A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1C0B4B" w:rsidRDefault="001C0B4B" w:rsidP="00E851E8">
            <w:pPr>
              <w:spacing w:after="176" w:line="252" w:lineRule="auto"/>
              <w:ind w:righ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Indeks</w:t>
            </w:r>
          </w:p>
          <w:p w:rsidR="001C0B4B" w:rsidRDefault="001C0B4B" w:rsidP="008F24A5">
            <w:pPr>
              <w:spacing w:after="176" w:line="252" w:lineRule="auto"/>
              <w:ind w:righ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F24A5">
              <w:rPr>
                <w:sz w:val="24"/>
                <w:szCs w:val="24"/>
              </w:rPr>
              <w:t>5</w:t>
            </w:r>
            <w:r w:rsidR="005A2E9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/202</w:t>
            </w:r>
            <w:r w:rsidR="008F24A5">
              <w:rPr>
                <w:sz w:val="24"/>
                <w:szCs w:val="24"/>
              </w:rPr>
              <w:t>4</w:t>
            </w:r>
            <w:r w:rsidR="005A2E9C">
              <w:rPr>
                <w:sz w:val="24"/>
                <w:szCs w:val="24"/>
              </w:rPr>
              <w:t>.</w:t>
            </w:r>
          </w:p>
        </w:tc>
      </w:tr>
      <w:tr w:rsidR="003D7EA6" w:rsidTr="001C0B4B">
        <w:tc>
          <w:tcPr>
            <w:tcW w:w="1751" w:type="dxa"/>
          </w:tcPr>
          <w:p w:rsidR="003D7EA6" w:rsidRDefault="003D7EA6" w:rsidP="003D7EA6">
            <w:pPr>
              <w:spacing w:after="176" w:line="252" w:lineRule="auto"/>
              <w:ind w:righ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A621001</w:t>
            </w:r>
          </w:p>
        </w:tc>
        <w:tc>
          <w:tcPr>
            <w:tcW w:w="1651" w:type="dxa"/>
          </w:tcPr>
          <w:p w:rsidR="003D7EA6" w:rsidRDefault="008F24A5" w:rsidP="008F24A5">
            <w:pPr>
              <w:spacing w:after="176" w:line="252" w:lineRule="auto"/>
              <w:ind w:righ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24.307</w:t>
            </w:r>
            <w:r w:rsidR="003D7EA6">
              <w:rPr>
                <w:sz w:val="24"/>
                <w:szCs w:val="24"/>
              </w:rPr>
              <w:t>.6</w:t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1651" w:type="dxa"/>
          </w:tcPr>
          <w:p w:rsidR="003D7EA6" w:rsidRDefault="0039584D" w:rsidP="00175C47">
            <w:pPr>
              <w:spacing w:after="176" w:line="252" w:lineRule="auto"/>
              <w:ind w:righ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24A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175C47">
              <w:rPr>
                <w:sz w:val="24"/>
                <w:szCs w:val="24"/>
              </w:rPr>
              <w:t>082</w:t>
            </w:r>
            <w:r w:rsidR="003D7EA6">
              <w:rPr>
                <w:sz w:val="24"/>
                <w:szCs w:val="24"/>
              </w:rPr>
              <w:t>.</w:t>
            </w:r>
            <w:r w:rsidR="00175C47">
              <w:rPr>
                <w:sz w:val="24"/>
                <w:szCs w:val="24"/>
              </w:rPr>
              <w:t>491</w:t>
            </w:r>
          </w:p>
        </w:tc>
        <w:tc>
          <w:tcPr>
            <w:tcW w:w="1651" w:type="dxa"/>
          </w:tcPr>
          <w:p w:rsidR="003D7EA6" w:rsidRDefault="008F24A5" w:rsidP="00175C47">
            <w:r>
              <w:rPr>
                <w:sz w:val="24"/>
                <w:szCs w:val="24"/>
              </w:rPr>
              <w:t>26.</w:t>
            </w:r>
            <w:r w:rsidR="00175C47">
              <w:rPr>
                <w:sz w:val="24"/>
                <w:szCs w:val="24"/>
              </w:rPr>
              <w:t>210</w:t>
            </w:r>
            <w:r>
              <w:rPr>
                <w:sz w:val="24"/>
                <w:szCs w:val="24"/>
              </w:rPr>
              <w:t>.</w:t>
            </w:r>
            <w:r w:rsidR="00175C47">
              <w:rPr>
                <w:sz w:val="24"/>
                <w:szCs w:val="24"/>
              </w:rPr>
              <w:t>466</w:t>
            </w:r>
          </w:p>
        </w:tc>
        <w:tc>
          <w:tcPr>
            <w:tcW w:w="1651" w:type="dxa"/>
          </w:tcPr>
          <w:p w:rsidR="003D7EA6" w:rsidRDefault="008F24A5" w:rsidP="00175C47">
            <w:r>
              <w:rPr>
                <w:sz w:val="24"/>
                <w:szCs w:val="24"/>
              </w:rPr>
              <w:t>2</w:t>
            </w:r>
            <w:r w:rsidR="00175C47">
              <w:rPr>
                <w:sz w:val="24"/>
                <w:szCs w:val="24"/>
              </w:rPr>
              <w:t>6.339</w:t>
            </w:r>
            <w:r>
              <w:rPr>
                <w:sz w:val="24"/>
                <w:szCs w:val="24"/>
              </w:rPr>
              <w:t>.</w:t>
            </w:r>
            <w:r w:rsidR="00175C47">
              <w:rPr>
                <w:sz w:val="24"/>
                <w:szCs w:val="24"/>
              </w:rPr>
              <w:t>082</w:t>
            </w:r>
          </w:p>
        </w:tc>
        <w:tc>
          <w:tcPr>
            <w:tcW w:w="1507" w:type="dxa"/>
          </w:tcPr>
          <w:p w:rsidR="003D7EA6" w:rsidRDefault="003D7EA6" w:rsidP="00175C47">
            <w:pPr>
              <w:spacing w:after="176" w:line="252" w:lineRule="auto"/>
              <w:ind w:righ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75C47">
              <w:rPr>
                <w:sz w:val="24"/>
                <w:szCs w:val="24"/>
              </w:rPr>
              <w:t>7</w:t>
            </w:r>
            <w:r w:rsidR="008F24A5">
              <w:rPr>
                <w:sz w:val="24"/>
                <w:szCs w:val="24"/>
              </w:rPr>
              <w:t>,3</w:t>
            </w:r>
            <w:r w:rsidR="00175C47">
              <w:rPr>
                <w:sz w:val="24"/>
                <w:szCs w:val="24"/>
              </w:rPr>
              <w:t>0</w:t>
            </w:r>
          </w:p>
        </w:tc>
      </w:tr>
    </w:tbl>
    <w:p w:rsidR="002A0FB9" w:rsidRDefault="002A0FB9" w:rsidP="00E851E8">
      <w:pPr>
        <w:spacing w:after="176" w:line="252" w:lineRule="auto"/>
        <w:ind w:left="326"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A2E9C" w:rsidRDefault="005A2E9C" w:rsidP="00E851E8">
      <w:pPr>
        <w:spacing w:after="176" w:line="252" w:lineRule="auto"/>
        <w:ind w:left="326" w:right="4"/>
        <w:jc w:val="both"/>
        <w:rPr>
          <w:sz w:val="24"/>
          <w:szCs w:val="24"/>
        </w:rPr>
      </w:pPr>
      <w:r>
        <w:rPr>
          <w:sz w:val="24"/>
          <w:szCs w:val="24"/>
        </w:rPr>
        <w:t>Ova aktivnost provodi se svake godine iz izvora financiranja 11 Opći prihodi i primici. Aktivnosti se odnose na planiranje rashoda za zaposlene na teret državnog proračuna te dijela materijalnih rashoda koji se financiraju iz državnog proračuna. Sredstva za 202</w:t>
      </w:r>
      <w:r w:rsidR="008F24A5">
        <w:rPr>
          <w:sz w:val="24"/>
          <w:szCs w:val="24"/>
        </w:rPr>
        <w:t>5</w:t>
      </w:r>
      <w:r>
        <w:rPr>
          <w:sz w:val="24"/>
          <w:szCs w:val="24"/>
        </w:rPr>
        <w:t>. g</w:t>
      </w:r>
      <w:r w:rsidR="003D7EA6">
        <w:rPr>
          <w:sz w:val="24"/>
          <w:szCs w:val="24"/>
        </w:rPr>
        <w:t>odinu planirana su u iznosu od 2</w:t>
      </w:r>
      <w:r w:rsidR="008F24A5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175C47">
        <w:rPr>
          <w:sz w:val="24"/>
          <w:szCs w:val="24"/>
        </w:rPr>
        <w:t>082</w:t>
      </w:r>
      <w:r>
        <w:rPr>
          <w:sz w:val="24"/>
          <w:szCs w:val="24"/>
        </w:rPr>
        <w:t>.</w:t>
      </w:r>
      <w:r w:rsidR="00175C47">
        <w:rPr>
          <w:sz w:val="24"/>
          <w:szCs w:val="24"/>
        </w:rPr>
        <w:t>491</w:t>
      </w:r>
      <w:r>
        <w:rPr>
          <w:sz w:val="24"/>
          <w:szCs w:val="24"/>
        </w:rPr>
        <w:t xml:space="preserve"> eura, rashodi se odnose za plaće zaposlenika, materijalna prava zaposlenika, prijevoz zaposlenika</w:t>
      </w:r>
      <w:r w:rsidR="00C04B3C">
        <w:rPr>
          <w:sz w:val="24"/>
          <w:szCs w:val="24"/>
        </w:rPr>
        <w:t xml:space="preserve"> na posao</w:t>
      </w:r>
      <w:r w:rsidR="006E29FA">
        <w:rPr>
          <w:sz w:val="24"/>
          <w:szCs w:val="24"/>
        </w:rPr>
        <w:t xml:space="preserve"> i s posla te za novčanu naknadu za nezapošljavanje osoba s invalid</w:t>
      </w:r>
      <w:r w:rsidR="00C04B3C">
        <w:rPr>
          <w:sz w:val="24"/>
          <w:szCs w:val="24"/>
        </w:rPr>
        <w:t xml:space="preserve">itetom. </w:t>
      </w:r>
      <w:r w:rsidR="00175C47">
        <w:rPr>
          <w:sz w:val="24"/>
          <w:szCs w:val="24"/>
        </w:rPr>
        <w:t>Povećanje od</w:t>
      </w:r>
      <w:r w:rsidR="00E306E9">
        <w:rPr>
          <w:sz w:val="24"/>
          <w:szCs w:val="24"/>
        </w:rPr>
        <w:t xml:space="preserve"> </w:t>
      </w:r>
      <w:r w:rsidR="00175C47">
        <w:rPr>
          <w:sz w:val="24"/>
          <w:szCs w:val="24"/>
        </w:rPr>
        <w:t>7</w:t>
      </w:r>
      <w:r w:rsidR="00E306E9">
        <w:rPr>
          <w:sz w:val="24"/>
          <w:szCs w:val="24"/>
        </w:rPr>
        <w:t>,3</w:t>
      </w:r>
      <w:r w:rsidR="00175C47">
        <w:rPr>
          <w:sz w:val="24"/>
          <w:szCs w:val="24"/>
        </w:rPr>
        <w:t>0</w:t>
      </w:r>
      <w:r w:rsidR="00E306E9">
        <w:rPr>
          <w:sz w:val="24"/>
          <w:szCs w:val="24"/>
        </w:rPr>
        <w:t xml:space="preserve">% u odnosu na 2024. zbog nove uredbe o koeficijentima koja je stupila na snagu 01. ožujka 2024. godine. </w:t>
      </w:r>
      <w:r w:rsidR="006E29FA">
        <w:rPr>
          <w:sz w:val="24"/>
          <w:szCs w:val="24"/>
        </w:rPr>
        <w:t>Sredstva su planirana na temelju zadanih li</w:t>
      </w:r>
      <w:r w:rsidR="00175C47">
        <w:rPr>
          <w:sz w:val="24"/>
          <w:szCs w:val="24"/>
        </w:rPr>
        <w:t xml:space="preserve">mita od Ministarstva znanosti, </w:t>
      </w:r>
      <w:r w:rsidR="006E29FA">
        <w:rPr>
          <w:sz w:val="24"/>
          <w:szCs w:val="24"/>
        </w:rPr>
        <w:t>obrazovanja</w:t>
      </w:r>
      <w:r w:rsidR="00175C47">
        <w:rPr>
          <w:sz w:val="24"/>
          <w:szCs w:val="24"/>
        </w:rPr>
        <w:t xml:space="preserve"> i mladih</w:t>
      </w:r>
      <w:r w:rsidR="006E29FA">
        <w:rPr>
          <w:sz w:val="24"/>
          <w:szCs w:val="24"/>
        </w:rPr>
        <w:t>.</w:t>
      </w:r>
    </w:p>
    <w:p w:rsidR="006E29FA" w:rsidRDefault="006E29FA" w:rsidP="00E851E8">
      <w:pPr>
        <w:spacing w:after="176" w:line="252" w:lineRule="auto"/>
        <w:ind w:left="326" w:right="4"/>
        <w:jc w:val="both"/>
        <w:rPr>
          <w:sz w:val="24"/>
          <w:szCs w:val="24"/>
        </w:rPr>
      </w:pPr>
    </w:p>
    <w:p w:rsidR="006E29FA" w:rsidRPr="00F72A3D" w:rsidRDefault="006E29FA" w:rsidP="00E851E8">
      <w:pPr>
        <w:spacing w:after="176" w:line="252" w:lineRule="auto"/>
        <w:ind w:left="326" w:right="4"/>
        <w:jc w:val="both"/>
        <w:rPr>
          <w:b/>
          <w:i/>
          <w:sz w:val="24"/>
          <w:szCs w:val="24"/>
        </w:rPr>
      </w:pPr>
      <w:r w:rsidRPr="00F72A3D">
        <w:rPr>
          <w:b/>
          <w:i/>
          <w:sz w:val="24"/>
          <w:szCs w:val="24"/>
        </w:rPr>
        <w:t>A622122 Programsko financiranje javnih visokih učilišta</w:t>
      </w:r>
    </w:p>
    <w:p w:rsidR="006E29FA" w:rsidRPr="00F72A3D" w:rsidRDefault="006E29FA" w:rsidP="006E29FA">
      <w:pPr>
        <w:spacing w:after="176" w:line="252" w:lineRule="auto"/>
        <w:ind w:left="326" w:right="4"/>
        <w:jc w:val="both"/>
        <w:rPr>
          <w:sz w:val="24"/>
          <w:szCs w:val="24"/>
        </w:rPr>
      </w:pPr>
      <w:r w:rsidRPr="00F72A3D">
        <w:rPr>
          <w:sz w:val="24"/>
          <w:szCs w:val="24"/>
        </w:rPr>
        <w:t>Zakonske i druge pravne osnove</w:t>
      </w:r>
    </w:p>
    <w:p w:rsidR="006E29FA" w:rsidRDefault="006E29FA" w:rsidP="006E29FA">
      <w:pPr>
        <w:spacing w:after="176" w:line="252" w:lineRule="auto"/>
        <w:ind w:left="326"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A0FB9">
        <w:rPr>
          <w:sz w:val="24"/>
          <w:szCs w:val="24"/>
        </w:rPr>
        <w:t>Zakon o znanstvenoj djelatnosti i visokom obrazovanju</w:t>
      </w:r>
    </w:p>
    <w:p w:rsidR="006E29FA" w:rsidRDefault="006E29FA" w:rsidP="0018087A">
      <w:pPr>
        <w:spacing w:after="176" w:line="252" w:lineRule="auto"/>
        <w:ind w:left="326"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Kolektivni ugovor </w:t>
      </w:r>
      <w:r w:rsidR="0018087A">
        <w:rPr>
          <w:sz w:val="24"/>
          <w:szCs w:val="24"/>
        </w:rPr>
        <w:t>za znanost i visoko obrazovanje</w:t>
      </w:r>
    </w:p>
    <w:p w:rsidR="006E29FA" w:rsidRDefault="006E29FA" w:rsidP="006E29FA">
      <w:pPr>
        <w:spacing w:after="176" w:line="252" w:lineRule="auto"/>
        <w:ind w:left="326" w:right="4"/>
        <w:jc w:val="both"/>
        <w:rPr>
          <w:sz w:val="24"/>
          <w:szCs w:val="24"/>
        </w:rPr>
      </w:pPr>
      <w:r>
        <w:rPr>
          <w:sz w:val="24"/>
          <w:szCs w:val="24"/>
        </w:rPr>
        <w:t>- Zakon o osiguranju kvalitete u znanosti i visokom obrazovanju</w:t>
      </w:r>
    </w:p>
    <w:p w:rsidR="006E29FA" w:rsidRDefault="006E29FA" w:rsidP="00E306E9">
      <w:pPr>
        <w:spacing w:after="176" w:line="252" w:lineRule="auto"/>
        <w:ind w:right="4"/>
        <w:jc w:val="both"/>
        <w:rPr>
          <w:sz w:val="24"/>
          <w:szCs w:val="24"/>
        </w:rPr>
      </w:pPr>
    </w:p>
    <w:tbl>
      <w:tblPr>
        <w:tblStyle w:val="Reetkatablice"/>
        <w:tblW w:w="0" w:type="auto"/>
        <w:tblInd w:w="326" w:type="dxa"/>
        <w:tblLook w:val="04A0" w:firstRow="1" w:lastRow="0" w:firstColumn="1" w:lastColumn="0" w:noHBand="0" w:noVBand="1"/>
      </w:tblPr>
      <w:tblGrid>
        <w:gridCol w:w="1751"/>
        <w:gridCol w:w="1651"/>
        <w:gridCol w:w="1651"/>
        <w:gridCol w:w="1651"/>
        <w:gridCol w:w="1651"/>
        <w:gridCol w:w="1507"/>
      </w:tblGrid>
      <w:tr w:rsidR="0033641B" w:rsidTr="004928A4">
        <w:tc>
          <w:tcPr>
            <w:tcW w:w="1751" w:type="dxa"/>
          </w:tcPr>
          <w:p w:rsidR="0033641B" w:rsidRDefault="0033641B" w:rsidP="004928A4">
            <w:pPr>
              <w:spacing w:after="176" w:line="252" w:lineRule="auto"/>
              <w:ind w:right="4"/>
              <w:jc w:val="bot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33641B" w:rsidRDefault="0033641B" w:rsidP="00DF6324">
            <w:pPr>
              <w:spacing w:after="176" w:line="252" w:lineRule="auto"/>
              <w:ind w:righ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202</w:t>
            </w:r>
            <w:r w:rsidR="00E306E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33641B" w:rsidRDefault="0033641B" w:rsidP="00E306E9">
            <w:pPr>
              <w:spacing w:after="176" w:line="252" w:lineRule="auto"/>
              <w:ind w:righ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202</w:t>
            </w:r>
            <w:r w:rsidR="00E306E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33641B" w:rsidRDefault="0033641B" w:rsidP="00E306E9">
            <w:pPr>
              <w:spacing w:after="176" w:line="252" w:lineRule="auto"/>
              <w:ind w:righ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202</w:t>
            </w:r>
            <w:r w:rsidR="00E306E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33641B" w:rsidRDefault="0033641B" w:rsidP="00E306E9">
            <w:pPr>
              <w:spacing w:after="176" w:line="252" w:lineRule="auto"/>
              <w:ind w:righ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202</w:t>
            </w:r>
            <w:r w:rsidR="00E306E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33641B" w:rsidRDefault="0033641B" w:rsidP="004928A4">
            <w:pPr>
              <w:spacing w:after="176" w:line="252" w:lineRule="auto"/>
              <w:ind w:righ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Indeks</w:t>
            </w:r>
          </w:p>
          <w:p w:rsidR="0033641B" w:rsidRDefault="00DF6324" w:rsidP="00E306E9">
            <w:pPr>
              <w:spacing w:after="176" w:line="252" w:lineRule="auto"/>
              <w:ind w:righ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 w:rsidR="00E306E9">
              <w:rPr>
                <w:sz w:val="24"/>
                <w:szCs w:val="24"/>
              </w:rPr>
              <w:t>5./2024</w:t>
            </w:r>
            <w:r w:rsidR="0033641B">
              <w:rPr>
                <w:sz w:val="24"/>
                <w:szCs w:val="24"/>
              </w:rPr>
              <w:t>.</w:t>
            </w:r>
          </w:p>
        </w:tc>
      </w:tr>
      <w:tr w:rsidR="004D657D" w:rsidTr="004928A4">
        <w:tc>
          <w:tcPr>
            <w:tcW w:w="1751" w:type="dxa"/>
          </w:tcPr>
          <w:p w:rsidR="004D657D" w:rsidRDefault="004D657D" w:rsidP="004D657D">
            <w:pPr>
              <w:spacing w:after="176" w:line="252" w:lineRule="auto"/>
              <w:ind w:righ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A622122</w:t>
            </w:r>
          </w:p>
        </w:tc>
        <w:tc>
          <w:tcPr>
            <w:tcW w:w="1651" w:type="dxa"/>
          </w:tcPr>
          <w:p w:rsidR="004D657D" w:rsidRDefault="00DF6324" w:rsidP="00E306E9">
            <w:pPr>
              <w:spacing w:after="176" w:line="252" w:lineRule="auto"/>
              <w:ind w:righ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306E9">
              <w:rPr>
                <w:sz w:val="24"/>
                <w:szCs w:val="24"/>
              </w:rPr>
              <w:t>475</w:t>
            </w:r>
            <w:r>
              <w:rPr>
                <w:sz w:val="24"/>
                <w:szCs w:val="24"/>
              </w:rPr>
              <w:t>.</w:t>
            </w:r>
            <w:r w:rsidR="00E306E9">
              <w:rPr>
                <w:sz w:val="24"/>
                <w:szCs w:val="24"/>
              </w:rPr>
              <w:t>840</w:t>
            </w:r>
          </w:p>
        </w:tc>
        <w:tc>
          <w:tcPr>
            <w:tcW w:w="1651" w:type="dxa"/>
          </w:tcPr>
          <w:p w:rsidR="004D657D" w:rsidRDefault="003D7EA6" w:rsidP="001401A4">
            <w:pPr>
              <w:spacing w:after="176" w:line="252" w:lineRule="auto"/>
              <w:ind w:righ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401A4">
              <w:rPr>
                <w:sz w:val="24"/>
                <w:szCs w:val="24"/>
              </w:rPr>
              <w:t>513</w:t>
            </w:r>
            <w:r>
              <w:rPr>
                <w:sz w:val="24"/>
                <w:szCs w:val="24"/>
              </w:rPr>
              <w:t>.</w:t>
            </w:r>
            <w:r w:rsidR="001401A4">
              <w:rPr>
                <w:sz w:val="24"/>
                <w:szCs w:val="24"/>
              </w:rPr>
              <w:t>686</w:t>
            </w:r>
          </w:p>
        </w:tc>
        <w:tc>
          <w:tcPr>
            <w:tcW w:w="1651" w:type="dxa"/>
          </w:tcPr>
          <w:p w:rsidR="004D657D" w:rsidRDefault="00175C47" w:rsidP="00175C47">
            <w:r>
              <w:rPr>
                <w:sz w:val="24"/>
                <w:szCs w:val="24"/>
              </w:rPr>
              <w:t>1.562</w:t>
            </w:r>
            <w:r w:rsidR="001401A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026</w:t>
            </w:r>
          </w:p>
        </w:tc>
        <w:tc>
          <w:tcPr>
            <w:tcW w:w="1651" w:type="dxa"/>
          </w:tcPr>
          <w:p w:rsidR="004D657D" w:rsidRDefault="001401A4" w:rsidP="00175C47">
            <w:r>
              <w:rPr>
                <w:sz w:val="24"/>
                <w:szCs w:val="24"/>
              </w:rPr>
              <w:t>1</w:t>
            </w:r>
            <w:r w:rsidR="00175C47">
              <w:rPr>
                <w:sz w:val="24"/>
                <w:szCs w:val="24"/>
              </w:rPr>
              <w:t>.562</w:t>
            </w:r>
            <w:r>
              <w:rPr>
                <w:sz w:val="24"/>
                <w:szCs w:val="24"/>
              </w:rPr>
              <w:t>.</w:t>
            </w:r>
            <w:r w:rsidR="00175C47">
              <w:rPr>
                <w:sz w:val="24"/>
                <w:szCs w:val="24"/>
              </w:rPr>
              <w:t>275</w:t>
            </w:r>
          </w:p>
        </w:tc>
        <w:tc>
          <w:tcPr>
            <w:tcW w:w="1507" w:type="dxa"/>
          </w:tcPr>
          <w:p w:rsidR="004D657D" w:rsidRDefault="001401A4" w:rsidP="001401A4">
            <w:pPr>
              <w:spacing w:after="176" w:line="252" w:lineRule="auto"/>
              <w:ind w:righ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E306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56</w:t>
            </w:r>
            <w:r w:rsidR="00E306E9">
              <w:rPr>
                <w:sz w:val="24"/>
                <w:szCs w:val="24"/>
              </w:rPr>
              <w:t>%</w:t>
            </w:r>
          </w:p>
        </w:tc>
      </w:tr>
    </w:tbl>
    <w:p w:rsidR="0033641B" w:rsidRDefault="0033641B" w:rsidP="006E29FA">
      <w:pPr>
        <w:spacing w:after="176" w:line="252" w:lineRule="auto"/>
        <w:ind w:left="326" w:right="4"/>
        <w:jc w:val="both"/>
        <w:rPr>
          <w:sz w:val="24"/>
          <w:szCs w:val="24"/>
        </w:rPr>
      </w:pPr>
    </w:p>
    <w:p w:rsidR="005A2E9C" w:rsidRDefault="0033641B" w:rsidP="00E851E8">
      <w:pPr>
        <w:spacing w:after="176" w:line="252" w:lineRule="auto"/>
        <w:ind w:left="326" w:right="4"/>
        <w:jc w:val="both"/>
        <w:rPr>
          <w:sz w:val="24"/>
          <w:szCs w:val="24"/>
        </w:rPr>
      </w:pPr>
      <w:r>
        <w:rPr>
          <w:sz w:val="24"/>
          <w:szCs w:val="24"/>
        </w:rPr>
        <w:t>Ova aktivnost provodi se svake godine iz izvora financiranja 11 Opći prihodi i primici. Aktivnosti se odnose na</w:t>
      </w:r>
      <w:r w:rsidR="003C477C">
        <w:rPr>
          <w:sz w:val="24"/>
          <w:szCs w:val="24"/>
        </w:rPr>
        <w:t xml:space="preserve"> pokrivanje materijalnih troškova fakulteta i troška nabave znanstvene kapitalne opreme. Sredstva su planirana na temelju zadani</w:t>
      </w:r>
      <w:r w:rsidR="00175C47">
        <w:rPr>
          <w:sz w:val="24"/>
          <w:szCs w:val="24"/>
        </w:rPr>
        <w:t>h limita Ministarstva znanosti,</w:t>
      </w:r>
      <w:r w:rsidR="003C477C">
        <w:rPr>
          <w:sz w:val="24"/>
          <w:szCs w:val="24"/>
        </w:rPr>
        <w:t xml:space="preserve"> obrazovanja</w:t>
      </w:r>
      <w:r w:rsidR="00175C47">
        <w:rPr>
          <w:sz w:val="24"/>
          <w:szCs w:val="24"/>
        </w:rPr>
        <w:t xml:space="preserve"> i mladih</w:t>
      </w:r>
      <w:r w:rsidR="003C477C">
        <w:rPr>
          <w:sz w:val="24"/>
          <w:szCs w:val="24"/>
        </w:rPr>
        <w:t xml:space="preserve"> odnosno Sveučilišta u Zagrebu. </w:t>
      </w:r>
    </w:p>
    <w:p w:rsidR="0018087A" w:rsidRDefault="0018087A" w:rsidP="00E851E8">
      <w:pPr>
        <w:spacing w:after="176" w:line="252" w:lineRule="auto"/>
        <w:ind w:left="326" w:right="4"/>
        <w:jc w:val="both"/>
        <w:rPr>
          <w:sz w:val="24"/>
          <w:szCs w:val="24"/>
        </w:rPr>
      </w:pPr>
    </w:p>
    <w:p w:rsidR="0018087A" w:rsidRPr="00F72A3D" w:rsidRDefault="0018087A" w:rsidP="00E851E8">
      <w:pPr>
        <w:spacing w:after="176" w:line="252" w:lineRule="auto"/>
        <w:ind w:left="326" w:right="4"/>
        <w:jc w:val="both"/>
        <w:rPr>
          <w:b/>
          <w:i/>
          <w:sz w:val="24"/>
          <w:szCs w:val="24"/>
        </w:rPr>
      </w:pPr>
      <w:r w:rsidRPr="00F72A3D">
        <w:rPr>
          <w:b/>
          <w:i/>
          <w:sz w:val="24"/>
          <w:szCs w:val="24"/>
        </w:rPr>
        <w:t>A679088 Redovna djelatnost Sveučilišta u Zagrebu Medicinski fakultet (iz EV prihoda)</w:t>
      </w:r>
    </w:p>
    <w:p w:rsidR="00334975" w:rsidRPr="00F72A3D" w:rsidRDefault="00334975" w:rsidP="00334975">
      <w:pPr>
        <w:spacing w:after="176" w:line="252" w:lineRule="auto"/>
        <w:ind w:left="326" w:right="4"/>
        <w:jc w:val="both"/>
        <w:rPr>
          <w:sz w:val="24"/>
          <w:szCs w:val="24"/>
        </w:rPr>
      </w:pPr>
      <w:r w:rsidRPr="00F72A3D">
        <w:rPr>
          <w:sz w:val="24"/>
          <w:szCs w:val="24"/>
        </w:rPr>
        <w:t>Zakonske i druge pravne osnove</w:t>
      </w:r>
    </w:p>
    <w:p w:rsidR="00334975" w:rsidRDefault="00334975" w:rsidP="00334975">
      <w:pPr>
        <w:spacing w:after="176" w:line="252" w:lineRule="auto"/>
        <w:ind w:left="326" w:right="4"/>
        <w:jc w:val="both"/>
        <w:rPr>
          <w:sz w:val="24"/>
          <w:szCs w:val="24"/>
        </w:rPr>
      </w:pPr>
      <w:r w:rsidRPr="002A0FB9">
        <w:rPr>
          <w:sz w:val="24"/>
          <w:szCs w:val="24"/>
        </w:rPr>
        <w:t>- Zakon o znanstvenoj djelatnosti i visokom obrazovanju</w:t>
      </w:r>
    </w:p>
    <w:p w:rsidR="00334975" w:rsidRDefault="00334975" w:rsidP="00334975">
      <w:pPr>
        <w:spacing w:after="176" w:line="252" w:lineRule="auto"/>
        <w:ind w:left="326" w:right="4"/>
        <w:jc w:val="both"/>
        <w:rPr>
          <w:sz w:val="24"/>
          <w:szCs w:val="24"/>
        </w:rPr>
      </w:pPr>
      <w:r>
        <w:rPr>
          <w:sz w:val="24"/>
          <w:szCs w:val="24"/>
        </w:rPr>
        <w:t>- Temeljni kolektivni ugovor za službenike i namještenike u javnim službama</w:t>
      </w:r>
    </w:p>
    <w:p w:rsidR="00334975" w:rsidRDefault="00334975" w:rsidP="00334975">
      <w:pPr>
        <w:spacing w:after="176" w:line="252" w:lineRule="auto"/>
        <w:ind w:left="326" w:right="4"/>
        <w:jc w:val="both"/>
        <w:rPr>
          <w:sz w:val="24"/>
          <w:szCs w:val="24"/>
        </w:rPr>
      </w:pPr>
      <w:r>
        <w:rPr>
          <w:sz w:val="24"/>
          <w:szCs w:val="24"/>
        </w:rPr>
        <w:t>- Kolektivni ugovor za znanost i visoko obrazovanje</w:t>
      </w:r>
    </w:p>
    <w:p w:rsidR="00334975" w:rsidRDefault="00334975" w:rsidP="00334975">
      <w:pPr>
        <w:spacing w:after="176" w:line="252" w:lineRule="auto"/>
        <w:ind w:left="326" w:right="4"/>
        <w:jc w:val="both"/>
        <w:rPr>
          <w:sz w:val="24"/>
          <w:szCs w:val="24"/>
        </w:rPr>
      </w:pPr>
      <w:r>
        <w:rPr>
          <w:sz w:val="24"/>
          <w:szCs w:val="24"/>
        </w:rPr>
        <w:t>- Zakon o ustanovama</w:t>
      </w:r>
    </w:p>
    <w:p w:rsidR="00334975" w:rsidRDefault="00334975" w:rsidP="00334975">
      <w:pPr>
        <w:spacing w:after="176" w:line="252" w:lineRule="auto"/>
        <w:ind w:left="326" w:right="4"/>
        <w:jc w:val="both"/>
        <w:rPr>
          <w:sz w:val="24"/>
          <w:szCs w:val="24"/>
        </w:rPr>
      </w:pPr>
      <w:r>
        <w:rPr>
          <w:sz w:val="24"/>
          <w:szCs w:val="24"/>
        </w:rPr>
        <w:t>- Pravilnik o mjerilima i načinu korištenja vlastitih i namjenskih prihoda</w:t>
      </w:r>
    </w:p>
    <w:p w:rsidR="00C15D7B" w:rsidRDefault="00C15D7B" w:rsidP="00E851E8">
      <w:pPr>
        <w:spacing w:after="176" w:line="252" w:lineRule="auto"/>
        <w:ind w:left="326" w:right="4"/>
        <w:jc w:val="both"/>
        <w:rPr>
          <w:sz w:val="24"/>
          <w:szCs w:val="24"/>
        </w:rPr>
      </w:pPr>
      <w:r>
        <w:rPr>
          <w:sz w:val="24"/>
          <w:szCs w:val="24"/>
        </w:rPr>
        <w:t>Ova aktivnost provodi se svake godine iz slijedećih izvora financiranja:</w:t>
      </w:r>
    </w:p>
    <w:p w:rsidR="00C15D7B" w:rsidRPr="00AB498E" w:rsidRDefault="00C15D7B" w:rsidP="00AB498E">
      <w:pPr>
        <w:pStyle w:val="Odlomakpopisa"/>
        <w:numPr>
          <w:ilvl w:val="0"/>
          <w:numId w:val="42"/>
        </w:numPr>
        <w:spacing w:after="176" w:line="252" w:lineRule="auto"/>
        <w:ind w:right="4"/>
        <w:jc w:val="both"/>
        <w:rPr>
          <w:sz w:val="24"/>
          <w:szCs w:val="24"/>
        </w:rPr>
      </w:pPr>
      <w:r w:rsidRPr="00AB498E">
        <w:rPr>
          <w:sz w:val="24"/>
          <w:szCs w:val="24"/>
        </w:rPr>
        <w:t>31 Vlastiti prihodi – fakultet ostvaruje vlastite prihode od obavljanja poslova na tržištu  - patološke analize, obdukcije, sudska vještačenja,</w:t>
      </w:r>
      <w:r w:rsidR="004721C3">
        <w:rPr>
          <w:sz w:val="24"/>
          <w:szCs w:val="24"/>
        </w:rPr>
        <w:t xml:space="preserve"> analize voda,</w:t>
      </w:r>
      <w:r w:rsidRPr="00AB498E">
        <w:rPr>
          <w:sz w:val="24"/>
          <w:szCs w:val="24"/>
        </w:rPr>
        <w:t xml:space="preserve"> dijagnostički postupci, </w:t>
      </w:r>
      <w:r w:rsidR="00B45553" w:rsidRPr="00AB498E">
        <w:rPr>
          <w:sz w:val="24"/>
          <w:szCs w:val="24"/>
        </w:rPr>
        <w:t>škol</w:t>
      </w:r>
      <w:r w:rsidR="00137577">
        <w:rPr>
          <w:sz w:val="24"/>
          <w:szCs w:val="24"/>
        </w:rPr>
        <w:t>a</w:t>
      </w:r>
      <w:r w:rsidR="00B45553" w:rsidRPr="00AB498E">
        <w:rPr>
          <w:sz w:val="24"/>
          <w:szCs w:val="24"/>
        </w:rPr>
        <w:t xml:space="preserve">rina od poslijediplomskih specijalističkih studija, </w:t>
      </w:r>
      <w:r w:rsidRPr="00AB498E">
        <w:rPr>
          <w:sz w:val="24"/>
          <w:szCs w:val="24"/>
        </w:rPr>
        <w:t xml:space="preserve">tečajevi stalnog medicinskog usavršavanja te iznajmljivanje prostora. </w:t>
      </w:r>
      <w:r w:rsidR="0046772B" w:rsidRPr="00AB498E">
        <w:rPr>
          <w:sz w:val="24"/>
          <w:szCs w:val="24"/>
        </w:rPr>
        <w:t>Planirani prihodi se koristi za podmirivanje rashoda za zaposlene koji se ne financiraju iz Državnog proračuna</w:t>
      </w:r>
      <w:r w:rsidR="00B45553" w:rsidRPr="00AB498E">
        <w:rPr>
          <w:sz w:val="24"/>
          <w:szCs w:val="24"/>
        </w:rPr>
        <w:t>,</w:t>
      </w:r>
      <w:r w:rsidR="0046772B" w:rsidRPr="00AB498E">
        <w:rPr>
          <w:sz w:val="24"/>
          <w:szCs w:val="24"/>
        </w:rPr>
        <w:t xml:space="preserve"> a zaposleni su radi povećanog obujma posla potrebnog za obavljanje gospodarske djelatnosti, za pokrivanje </w:t>
      </w:r>
      <w:r w:rsidR="00B45553" w:rsidRPr="00AB498E">
        <w:rPr>
          <w:sz w:val="24"/>
          <w:szCs w:val="24"/>
        </w:rPr>
        <w:t>materijalnih rashoda, financijskih rashoda i rashoda za nabavu nefinancijske imovine. Također iz vlastitih prihoda se financiraju troškovi EU projek</w:t>
      </w:r>
      <w:r w:rsidR="00C04B3C">
        <w:rPr>
          <w:sz w:val="24"/>
          <w:szCs w:val="24"/>
        </w:rPr>
        <w:t>a</w:t>
      </w:r>
      <w:r w:rsidR="00B45553" w:rsidRPr="00AB498E">
        <w:rPr>
          <w:sz w:val="24"/>
          <w:szCs w:val="24"/>
        </w:rPr>
        <w:t xml:space="preserve">ta kojima se prihodi priznaju </w:t>
      </w:r>
      <w:r w:rsidR="00097C82">
        <w:rPr>
          <w:sz w:val="24"/>
          <w:szCs w:val="24"/>
        </w:rPr>
        <w:t>po metodi nadoknade.</w:t>
      </w:r>
    </w:p>
    <w:p w:rsidR="00AB498E" w:rsidRDefault="00B45553" w:rsidP="00AB498E">
      <w:pPr>
        <w:pStyle w:val="Odlomakpopisa"/>
        <w:numPr>
          <w:ilvl w:val="0"/>
          <w:numId w:val="42"/>
        </w:numPr>
        <w:spacing w:after="176" w:line="252" w:lineRule="auto"/>
        <w:ind w:right="4"/>
        <w:jc w:val="both"/>
        <w:rPr>
          <w:sz w:val="24"/>
          <w:szCs w:val="24"/>
        </w:rPr>
      </w:pPr>
      <w:r w:rsidRPr="00AB498E">
        <w:rPr>
          <w:sz w:val="24"/>
          <w:szCs w:val="24"/>
        </w:rPr>
        <w:t>43 Ostali prihodi za posebne namjene se odnose na prihode od školarina za preddiplomske, diplomske i integrirane preddiplomske i diplomske studije te na prihode od poslijediplomskih doktorskih studija. Najveći dio prihoda odnosi se na studij medicine na engleskom jeziku. Od navedenih prihoda</w:t>
      </w:r>
      <w:r w:rsidR="00AB498E" w:rsidRPr="00AB498E">
        <w:rPr>
          <w:sz w:val="24"/>
          <w:szCs w:val="24"/>
        </w:rPr>
        <w:t xml:space="preserve"> najveći dio se </w:t>
      </w:r>
      <w:r w:rsidRPr="00AB498E">
        <w:rPr>
          <w:sz w:val="24"/>
          <w:szCs w:val="24"/>
        </w:rPr>
        <w:t xml:space="preserve"> </w:t>
      </w:r>
      <w:r w:rsidR="00AB498E" w:rsidRPr="00AB498E">
        <w:rPr>
          <w:sz w:val="24"/>
          <w:szCs w:val="24"/>
        </w:rPr>
        <w:t>koristi za podmirivanje vanjske suradnje, rashoda za zaposlene te osiguranje potrebne opreme potrebne za provođenje studija, po</w:t>
      </w:r>
      <w:r w:rsidR="00246108">
        <w:rPr>
          <w:sz w:val="24"/>
          <w:szCs w:val="24"/>
        </w:rPr>
        <w:t>krivanje materijalnih troškova</w:t>
      </w:r>
      <w:r w:rsidR="00AB498E" w:rsidRPr="00AB498E">
        <w:rPr>
          <w:sz w:val="24"/>
          <w:szCs w:val="24"/>
        </w:rPr>
        <w:t xml:space="preserve">, tekuće investicijsko održavanje i ostalih aktivnosti potrebnih za normalno funkcioniranje rada Fakulteta. </w:t>
      </w:r>
      <w:r w:rsidRPr="00AB498E">
        <w:rPr>
          <w:sz w:val="24"/>
          <w:szCs w:val="24"/>
        </w:rPr>
        <w:t xml:space="preserve"> </w:t>
      </w:r>
    </w:p>
    <w:p w:rsidR="00A370F9" w:rsidRDefault="00AB498E" w:rsidP="00AB498E">
      <w:pPr>
        <w:pStyle w:val="Odlomakpopisa"/>
        <w:numPr>
          <w:ilvl w:val="0"/>
          <w:numId w:val="42"/>
        </w:numPr>
        <w:spacing w:after="176" w:line="252" w:lineRule="auto"/>
        <w:ind w:right="4"/>
        <w:jc w:val="both"/>
        <w:rPr>
          <w:sz w:val="24"/>
          <w:szCs w:val="24"/>
        </w:rPr>
      </w:pPr>
      <w:r w:rsidRPr="00AB498E">
        <w:rPr>
          <w:sz w:val="24"/>
          <w:szCs w:val="24"/>
        </w:rPr>
        <w:t>52</w:t>
      </w:r>
      <w:r>
        <w:rPr>
          <w:sz w:val="24"/>
          <w:szCs w:val="24"/>
        </w:rPr>
        <w:t xml:space="preserve"> Ostale pomoći se odnose na prihode od Hrvatske zaklade za znanost (HRZZ) za projektno financiranje znanstvene djelatnosti te financiranje </w:t>
      </w:r>
      <w:proofErr w:type="spellStart"/>
      <w:r>
        <w:rPr>
          <w:sz w:val="24"/>
          <w:szCs w:val="24"/>
        </w:rPr>
        <w:t>doktoranada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poslijedoktoranada</w:t>
      </w:r>
      <w:proofErr w:type="spellEnd"/>
      <w:r>
        <w:rPr>
          <w:sz w:val="24"/>
          <w:szCs w:val="24"/>
        </w:rPr>
        <w:t xml:space="preserve"> zaposlenih na teret HRZZ</w:t>
      </w:r>
      <w:r w:rsidR="00C04B3C">
        <w:rPr>
          <w:sz w:val="24"/>
          <w:szCs w:val="24"/>
        </w:rPr>
        <w:t>-a</w:t>
      </w:r>
      <w:r>
        <w:rPr>
          <w:sz w:val="24"/>
          <w:szCs w:val="24"/>
        </w:rPr>
        <w:t>.</w:t>
      </w:r>
      <w:r w:rsidR="00A370F9">
        <w:rPr>
          <w:sz w:val="24"/>
          <w:szCs w:val="24"/>
        </w:rPr>
        <w:t xml:space="preserve"> Od navedenih prihoda financiraju se rashodi za zaposlene, materijalni troškovi poslovanja, tekuće i investicijsko održavanje, nabava dugotrajne imovine i ulaganje u dugotrajnu imovinu.</w:t>
      </w:r>
    </w:p>
    <w:p w:rsidR="00E306E9" w:rsidRDefault="00A370F9" w:rsidP="00AB498E">
      <w:pPr>
        <w:pStyle w:val="Odlomakpopisa"/>
        <w:numPr>
          <w:ilvl w:val="0"/>
          <w:numId w:val="42"/>
        </w:numPr>
        <w:spacing w:after="176" w:line="252" w:lineRule="auto"/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61 Donacije </w:t>
      </w:r>
      <w:r w:rsidR="00E306E9">
        <w:rPr>
          <w:sz w:val="24"/>
          <w:szCs w:val="24"/>
        </w:rPr>
        <w:t>–</w:t>
      </w:r>
      <w:r w:rsidR="00C04B3C">
        <w:rPr>
          <w:sz w:val="24"/>
          <w:szCs w:val="24"/>
        </w:rPr>
        <w:t xml:space="preserve"> </w:t>
      </w:r>
      <w:r w:rsidR="00E306E9">
        <w:rPr>
          <w:sz w:val="24"/>
          <w:szCs w:val="24"/>
        </w:rPr>
        <w:t xml:space="preserve">dio </w:t>
      </w:r>
      <w:r w:rsidR="00CF4EDA">
        <w:rPr>
          <w:sz w:val="24"/>
          <w:szCs w:val="24"/>
        </w:rPr>
        <w:t>donacija</w:t>
      </w:r>
      <w:r w:rsidR="00E306E9">
        <w:rPr>
          <w:sz w:val="24"/>
          <w:szCs w:val="24"/>
        </w:rPr>
        <w:t xml:space="preserve"> se odnosi na donacije</w:t>
      </w:r>
      <w:r w:rsidR="00CF4EDA">
        <w:rPr>
          <w:sz w:val="24"/>
          <w:szCs w:val="24"/>
        </w:rPr>
        <w:t xml:space="preserve"> Studentskog centra za provođenje </w:t>
      </w:r>
      <w:r>
        <w:rPr>
          <w:sz w:val="24"/>
          <w:szCs w:val="24"/>
        </w:rPr>
        <w:t xml:space="preserve"> </w:t>
      </w:r>
      <w:r w:rsidR="00F56C65">
        <w:rPr>
          <w:sz w:val="24"/>
          <w:szCs w:val="24"/>
        </w:rPr>
        <w:t>studentskih aktivnosti</w:t>
      </w:r>
      <w:r w:rsidR="00E306E9">
        <w:rPr>
          <w:sz w:val="24"/>
          <w:szCs w:val="24"/>
        </w:rPr>
        <w:t xml:space="preserve">, drugi oblici donacija namijenjeni su za provođenje tečajeva </w:t>
      </w:r>
    </w:p>
    <w:p w:rsidR="00AB498E" w:rsidRDefault="00A370F9" w:rsidP="00E306E9">
      <w:pPr>
        <w:pStyle w:val="Odlomakpopisa"/>
        <w:spacing w:after="176" w:line="252" w:lineRule="auto"/>
        <w:ind w:left="686"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498E" w:rsidRPr="00AB498E">
        <w:rPr>
          <w:sz w:val="24"/>
          <w:szCs w:val="24"/>
        </w:rPr>
        <w:t xml:space="preserve"> </w:t>
      </w:r>
    </w:p>
    <w:p w:rsidR="00C629B1" w:rsidRPr="00ED18F2" w:rsidRDefault="00C629B1" w:rsidP="00C629B1">
      <w:pPr>
        <w:ind w:left="45" w:right="6" w:hanging="11"/>
        <w:rPr>
          <w:rFonts w:cs="Calibri"/>
          <w:b/>
          <w:sz w:val="24"/>
          <w:szCs w:val="24"/>
        </w:rPr>
      </w:pPr>
      <w:r w:rsidRPr="00ED18F2">
        <w:rPr>
          <w:rFonts w:cs="Calibri"/>
          <w:b/>
          <w:sz w:val="24"/>
          <w:szCs w:val="24"/>
        </w:rPr>
        <w:t>CILJ 1. NASTAVNA DJELATNOST</w:t>
      </w:r>
    </w:p>
    <w:p w:rsidR="00C629B1" w:rsidRPr="00ED18F2" w:rsidRDefault="00C629B1" w:rsidP="00C629B1">
      <w:pPr>
        <w:spacing w:after="273" w:line="252" w:lineRule="auto"/>
        <w:ind w:left="43" w:right="4" w:hanging="10"/>
        <w:rPr>
          <w:rFonts w:cs="Calibri"/>
          <w:b/>
          <w:sz w:val="24"/>
          <w:szCs w:val="24"/>
        </w:rPr>
      </w:pPr>
      <w:r w:rsidRPr="00ED18F2">
        <w:rPr>
          <w:rFonts w:cs="Calibri"/>
          <w:b/>
          <w:sz w:val="24"/>
          <w:szCs w:val="24"/>
        </w:rPr>
        <w:t xml:space="preserve">            OBRAZLOŽENJE CILJA</w:t>
      </w:r>
    </w:p>
    <w:p w:rsidR="00C629B1" w:rsidRPr="00ED18F2" w:rsidRDefault="00C629B1" w:rsidP="00C629B1">
      <w:pPr>
        <w:ind w:left="38" w:right="14" w:firstLine="720"/>
        <w:jc w:val="both"/>
        <w:rPr>
          <w:rFonts w:cs="Calibri"/>
          <w:sz w:val="24"/>
          <w:szCs w:val="24"/>
        </w:rPr>
      </w:pPr>
      <w:r w:rsidRPr="00ED18F2">
        <w:rPr>
          <w:rFonts w:cs="Calibri"/>
          <w:sz w:val="24"/>
          <w:szCs w:val="24"/>
        </w:rPr>
        <w:t>Ciljevi Medicinskog fakulteta primarno su orijentirani prema osiguranju kvalitete svih nastavnih programa koji će voditi ostvarivanju izvrsnih nastavnih rezultata.</w:t>
      </w:r>
    </w:p>
    <w:p w:rsidR="00C629B1" w:rsidRPr="00ED18F2" w:rsidRDefault="00C629B1" w:rsidP="00C629B1">
      <w:pPr>
        <w:ind w:left="28" w:right="68" w:firstLine="709"/>
        <w:jc w:val="both"/>
        <w:rPr>
          <w:rFonts w:cs="Calibri"/>
          <w:sz w:val="24"/>
          <w:szCs w:val="24"/>
        </w:rPr>
      </w:pPr>
      <w:r w:rsidRPr="00ED18F2">
        <w:rPr>
          <w:rFonts w:cs="Calibri"/>
          <w:sz w:val="24"/>
          <w:szCs w:val="24"/>
        </w:rPr>
        <w:t>Organizacijom izvanrednih nastavnih aktivnosti (konzultacije, predavanja pr</w:t>
      </w:r>
      <w:r w:rsidR="00C04B3C">
        <w:rPr>
          <w:rFonts w:cs="Calibri"/>
          <w:sz w:val="24"/>
          <w:szCs w:val="24"/>
        </w:rPr>
        <w:t>oblematičnog gradiva-kolokviji)</w:t>
      </w:r>
      <w:r w:rsidRPr="00ED18F2">
        <w:rPr>
          <w:rFonts w:cs="Calibri"/>
          <w:sz w:val="24"/>
          <w:szCs w:val="24"/>
        </w:rPr>
        <w:t xml:space="preserve"> maksimalizirati spremnost studenata za izlazak na ispit s konačnim ciljem stjecanja boljeg znanja studenata i veće prolaznosti.</w:t>
      </w:r>
    </w:p>
    <w:p w:rsidR="00C629B1" w:rsidRPr="00ED18F2" w:rsidRDefault="00C629B1" w:rsidP="00C629B1">
      <w:pPr>
        <w:ind w:left="38" w:right="14" w:firstLine="725"/>
        <w:jc w:val="both"/>
        <w:rPr>
          <w:rFonts w:cs="Calibri"/>
          <w:sz w:val="24"/>
          <w:szCs w:val="24"/>
        </w:rPr>
      </w:pPr>
      <w:r w:rsidRPr="00ED18F2">
        <w:rPr>
          <w:rFonts w:cs="Calibri"/>
          <w:sz w:val="24"/>
          <w:szCs w:val="24"/>
        </w:rPr>
        <w:t>Izvrsnost se mjeri prema interesu kandidata za određeni studij. Svi pokazatelji govore da su svi studiji koje nudi Medicinski fakultet vrlo atraktivni za kandidate.</w:t>
      </w:r>
    </w:p>
    <w:p w:rsidR="00C629B1" w:rsidRPr="00ED18F2" w:rsidRDefault="00F56C65" w:rsidP="00193F4E">
      <w:pPr>
        <w:ind w:left="38" w:right="14" w:firstLine="68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Od 2023/2024 godine na </w:t>
      </w:r>
      <w:r w:rsidR="00514BE9">
        <w:rPr>
          <w:rFonts w:cs="Calibri"/>
          <w:sz w:val="24"/>
          <w:szCs w:val="24"/>
        </w:rPr>
        <w:t>temelju odluke Senata Sveučilišta u Zagrebu prvi put je upisano 89 studenata integrirani diplomski studij Medicine na engleskom jeziku.</w:t>
      </w:r>
      <w:r w:rsidR="00C629B1" w:rsidRPr="00ED18F2">
        <w:rPr>
          <w:rFonts w:cs="Calibri"/>
          <w:sz w:val="24"/>
          <w:szCs w:val="24"/>
        </w:rPr>
        <w:t xml:space="preserve"> </w:t>
      </w:r>
      <w:r w:rsidR="009C0624">
        <w:rPr>
          <w:rFonts w:cs="Calibri"/>
          <w:sz w:val="24"/>
          <w:szCs w:val="24"/>
        </w:rPr>
        <w:t xml:space="preserve">Budući da je znatan broj studenata dolazio iz Izraela zbog ratne krize koja je zahvatila taj dio svijeta odnosno zbog krize na globalnoj razini broj studenata je smanjen u 2024/2025 akademskoj godini. </w:t>
      </w:r>
      <w:r w:rsidR="00C629B1" w:rsidRPr="00ED18F2">
        <w:rPr>
          <w:rFonts w:cs="Calibri"/>
          <w:sz w:val="24"/>
          <w:szCs w:val="24"/>
        </w:rPr>
        <w:t xml:space="preserve">Pokazatelj učinka je broj </w:t>
      </w:r>
      <w:r w:rsidR="00193F4E">
        <w:rPr>
          <w:rFonts w:cs="Calibri"/>
          <w:sz w:val="24"/>
          <w:szCs w:val="24"/>
        </w:rPr>
        <w:t xml:space="preserve">studenata </w:t>
      </w:r>
      <w:r w:rsidR="00C629B1" w:rsidRPr="00ED18F2">
        <w:rPr>
          <w:rFonts w:cs="Calibri"/>
          <w:sz w:val="24"/>
          <w:szCs w:val="24"/>
        </w:rPr>
        <w:t>upisanih</w:t>
      </w:r>
      <w:r w:rsidR="00193F4E">
        <w:rPr>
          <w:rFonts w:cs="Calibri"/>
          <w:sz w:val="24"/>
          <w:szCs w:val="24"/>
        </w:rPr>
        <w:t xml:space="preserve"> u prvu godinu studija </w:t>
      </w:r>
      <w:r w:rsidR="00C629B1" w:rsidRPr="00ED18F2">
        <w:rPr>
          <w:rFonts w:cs="Calibri"/>
          <w:sz w:val="24"/>
          <w:szCs w:val="24"/>
        </w:rPr>
        <w:t>u odnosu na broj studenata koji su završili studij, te broj studenata koji su stekli minimalno 55 ETCS bodova.</w:t>
      </w:r>
      <w:r w:rsidR="00514BE9">
        <w:rPr>
          <w:rFonts w:cs="Calibri"/>
          <w:sz w:val="24"/>
          <w:szCs w:val="24"/>
        </w:rPr>
        <w:t xml:space="preserve"> Ciljane </w:t>
      </w:r>
      <w:r w:rsidR="003D7EA6">
        <w:rPr>
          <w:rFonts w:cs="Calibri"/>
          <w:sz w:val="24"/>
          <w:szCs w:val="24"/>
        </w:rPr>
        <w:t>vrijednosti za naredne godine su</w:t>
      </w:r>
      <w:r w:rsidR="00514BE9">
        <w:rPr>
          <w:rFonts w:cs="Calibri"/>
          <w:sz w:val="24"/>
          <w:szCs w:val="24"/>
        </w:rPr>
        <w:t xml:space="preserve"> veće zbog većeg broja upisanih studenta </w:t>
      </w:r>
      <w:r w:rsidR="003D7EA6">
        <w:rPr>
          <w:rFonts w:cs="Calibri"/>
          <w:sz w:val="24"/>
          <w:szCs w:val="24"/>
        </w:rPr>
        <w:t>na dodiplomski studij medicine na engleskom jeziku u</w:t>
      </w:r>
      <w:r w:rsidR="00514BE9">
        <w:rPr>
          <w:rFonts w:cs="Calibri"/>
          <w:sz w:val="24"/>
          <w:szCs w:val="24"/>
        </w:rPr>
        <w:t xml:space="preserve"> 2023/2024 godini.</w:t>
      </w:r>
    </w:p>
    <w:p w:rsidR="00C629B1" w:rsidRPr="00ED18F2" w:rsidRDefault="00C629B1" w:rsidP="00C629B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C629B1" w:rsidRPr="00ED18F2" w:rsidRDefault="00C629B1" w:rsidP="00C629B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tbl>
      <w:tblPr>
        <w:tblpPr w:leftFromText="180" w:rightFromText="180" w:vertAnchor="text" w:horzAnchor="margin" w:tblpY="414"/>
        <w:tblW w:w="10188" w:type="dxa"/>
        <w:tblLook w:val="00A0" w:firstRow="1" w:lastRow="0" w:firstColumn="1" w:lastColumn="0" w:noHBand="0" w:noVBand="0"/>
      </w:tblPr>
      <w:tblGrid>
        <w:gridCol w:w="1400"/>
        <w:gridCol w:w="1400"/>
        <w:gridCol w:w="1150"/>
        <w:gridCol w:w="1284"/>
        <w:gridCol w:w="1142"/>
        <w:gridCol w:w="1273"/>
        <w:gridCol w:w="1277"/>
        <w:gridCol w:w="1262"/>
      </w:tblGrid>
      <w:tr w:rsidR="00C629B1" w:rsidRPr="00ED18F2" w:rsidTr="00514BE9">
        <w:trPr>
          <w:trHeight w:val="691"/>
        </w:trPr>
        <w:tc>
          <w:tcPr>
            <w:tcW w:w="10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629B1" w:rsidRPr="00ED18F2" w:rsidRDefault="00C629B1" w:rsidP="00514BE9">
            <w:pPr>
              <w:jc w:val="center"/>
              <w:rPr>
                <w:rFonts w:cs="Calibri"/>
                <w:b/>
                <w:bCs/>
              </w:rPr>
            </w:pPr>
            <w:r w:rsidRPr="00ED18F2">
              <w:rPr>
                <w:rFonts w:cs="Calibri"/>
                <w:b/>
                <w:bCs/>
              </w:rPr>
              <w:t>Integrirani  diplomski studij Medicine na engleskom jeziku</w:t>
            </w:r>
          </w:p>
        </w:tc>
      </w:tr>
      <w:tr w:rsidR="00E306E9" w:rsidRPr="00ED18F2" w:rsidTr="00E306E9">
        <w:trPr>
          <w:trHeight w:val="691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629B1" w:rsidRPr="00ED18F2" w:rsidRDefault="00C629B1" w:rsidP="00C629B1">
            <w:pPr>
              <w:jc w:val="center"/>
              <w:rPr>
                <w:rFonts w:cs="Calibri"/>
                <w:b/>
                <w:bCs/>
              </w:rPr>
            </w:pPr>
            <w:r w:rsidRPr="00ED18F2">
              <w:rPr>
                <w:rFonts w:cs="Calibri"/>
                <w:b/>
                <w:bCs/>
              </w:rPr>
              <w:t>Pokazatelj</w:t>
            </w:r>
          </w:p>
          <w:p w:rsidR="00C629B1" w:rsidRPr="00ED18F2" w:rsidRDefault="00C629B1" w:rsidP="00C629B1">
            <w:pPr>
              <w:jc w:val="center"/>
              <w:rPr>
                <w:rFonts w:cs="Calibri"/>
                <w:b/>
                <w:bCs/>
              </w:rPr>
            </w:pPr>
            <w:r w:rsidRPr="00ED18F2">
              <w:rPr>
                <w:rFonts w:cs="Calibri"/>
                <w:b/>
                <w:bCs/>
              </w:rPr>
              <w:t>rezultata</w:t>
            </w:r>
          </w:p>
          <w:p w:rsidR="00C629B1" w:rsidRPr="00ED18F2" w:rsidRDefault="00C629B1" w:rsidP="00C629B1">
            <w:pPr>
              <w:rPr>
                <w:rFonts w:cs="Calibri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29B1" w:rsidRPr="00ED18F2" w:rsidRDefault="00C629B1" w:rsidP="00C629B1">
            <w:pPr>
              <w:jc w:val="center"/>
              <w:rPr>
                <w:rFonts w:cs="Calibri"/>
                <w:b/>
                <w:bCs/>
              </w:rPr>
            </w:pPr>
            <w:r w:rsidRPr="00ED18F2">
              <w:rPr>
                <w:rFonts w:cs="Calibri"/>
                <w:b/>
                <w:bCs/>
              </w:rPr>
              <w:t>Definicija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29B1" w:rsidRPr="00ED18F2" w:rsidRDefault="00C629B1" w:rsidP="00C629B1">
            <w:pPr>
              <w:jc w:val="center"/>
              <w:rPr>
                <w:rFonts w:cs="Calibri"/>
                <w:b/>
                <w:bCs/>
              </w:rPr>
            </w:pPr>
            <w:r w:rsidRPr="00ED18F2">
              <w:rPr>
                <w:rFonts w:cs="Calibri"/>
                <w:b/>
                <w:bCs/>
              </w:rPr>
              <w:t>Jedinica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29B1" w:rsidRDefault="00C629B1" w:rsidP="00C629B1">
            <w:pPr>
              <w:jc w:val="center"/>
              <w:rPr>
                <w:rFonts w:cs="Calibri"/>
                <w:b/>
                <w:bCs/>
              </w:rPr>
            </w:pPr>
            <w:r w:rsidRPr="00ED18F2">
              <w:rPr>
                <w:rFonts w:cs="Calibri"/>
                <w:b/>
                <w:bCs/>
              </w:rPr>
              <w:t>Polazna vrijednost</w:t>
            </w:r>
          </w:p>
          <w:p w:rsidR="00E051A3" w:rsidRPr="00ED18F2" w:rsidRDefault="00E051A3" w:rsidP="00E306E9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202</w:t>
            </w:r>
            <w:r w:rsidR="00E306E9">
              <w:rPr>
                <w:rFonts w:cs="Calibri"/>
                <w:b/>
                <w:bCs/>
              </w:rPr>
              <w:t>3</w:t>
            </w:r>
            <w:r>
              <w:rPr>
                <w:rFonts w:cs="Calibri"/>
                <w:b/>
                <w:bCs/>
              </w:rPr>
              <w:t>/202</w:t>
            </w:r>
            <w:r w:rsidR="00E306E9">
              <w:rPr>
                <w:rFonts w:cs="Calibri"/>
                <w:b/>
                <w:bCs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29B1" w:rsidRPr="00ED18F2" w:rsidRDefault="00C629B1" w:rsidP="00C629B1">
            <w:pPr>
              <w:jc w:val="center"/>
              <w:rPr>
                <w:rFonts w:cs="Calibri"/>
                <w:b/>
                <w:bCs/>
              </w:rPr>
            </w:pPr>
            <w:r w:rsidRPr="00ED18F2">
              <w:rPr>
                <w:rFonts w:cs="Calibri"/>
                <w:b/>
                <w:bCs/>
              </w:rPr>
              <w:t>Izvor podataka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29B1" w:rsidRPr="00ED18F2" w:rsidRDefault="00C629B1" w:rsidP="00E306E9">
            <w:pPr>
              <w:jc w:val="center"/>
              <w:rPr>
                <w:rFonts w:cs="Calibri"/>
                <w:b/>
                <w:bCs/>
              </w:rPr>
            </w:pPr>
            <w:r w:rsidRPr="00ED18F2">
              <w:rPr>
                <w:rFonts w:cs="Calibri"/>
                <w:b/>
                <w:bCs/>
              </w:rPr>
              <w:t>Ciljana vrijednost 202</w:t>
            </w:r>
            <w:r w:rsidR="00E306E9">
              <w:rPr>
                <w:rFonts w:cs="Calibri"/>
                <w:b/>
                <w:bCs/>
              </w:rPr>
              <w:t>5</w:t>
            </w:r>
            <w:r w:rsidRPr="00ED18F2">
              <w:rPr>
                <w:rFonts w:cs="Calibri"/>
                <w:b/>
                <w:bCs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29B1" w:rsidRPr="00ED18F2" w:rsidRDefault="00C629B1" w:rsidP="00323DB6">
            <w:pPr>
              <w:jc w:val="center"/>
              <w:rPr>
                <w:rFonts w:cs="Calibri"/>
                <w:b/>
                <w:bCs/>
              </w:rPr>
            </w:pPr>
            <w:r w:rsidRPr="00ED18F2">
              <w:rPr>
                <w:rFonts w:cs="Calibri"/>
                <w:b/>
                <w:bCs/>
              </w:rPr>
              <w:t>Ciljana vrijednost 202</w:t>
            </w:r>
            <w:r w:rsidR="00E051A3">
              <w:rPr>
                <w:rFonts w:cs="Calibri"/>
                <w:b/>
                <w:bCs/>
              </w:rPr>
              <w:t>5</w:t>
            </w:r>
            <w:r w:rsidRPr="00ED18F2">
              <w:rPr>
                <w:rFonts w:cs="Calibri"/>
                <w:b/>
                <w:bCs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29B1" w:rsidRPr="00ED18F2" w:rsidRDefault="00C629B1" w:rsidP="00323DB6">
            <w:pPr>
              <w:jc w:val="center"/>
              <w:rPr>
                <w:rFonts w:cs="Calibri"/>
                <w:b/>
                <w:bCs/>
              </w:rPr>
            </w:pPr>
            <w:r w:rsidRPr="00ED18F2">
              <w:rPr>
                <w:rFonts w:cs="Calibri"/>
                <w:b/>
                <w:bCs/>
              </w:rPr>
              <w:t>Ciljana vrijednost 202</w:t>
            </w:r>
            <w:r w:rsidR="00E051A3">
              <w:rPr>
                <w:rFonts w:cs="Calibri"/>
                <w:b/>
                <w:bCs/>
              </w:rPr>
              <w:t>6</w:t>
            </w:r>
            <w:r w:rsidRPr="00ED18F2">
              <w:rPr>
                <w:rFonts w:cs="Calibri"/>
                <w:b/>
                <w:bCs/>
              </w:rPr>
              <w:t>.</w:t>
            </w:r>
          </w:p>
        </w:tc>
      </w:tr>
      <w:tr w:rsidR="00E306E9" w:rsidRPr="00ED18F2" w:rsidTr="00E306E9">
        <w:trPr>
          <w:trHeight w:val="50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B1" w:rsidRPr="00ED18F2" w:rsidRDefault="00C629B1" w:rsidP="00C629B1">
            <w:pPr>
              <w:jc w:val="center"/>
              <w:rPr>
                <w:rFonts w:cs="Calibri"/>
              </w:rPr>
            </w:pPr>
            <w:r w:rsidRPr="00ED18F2">
              <w:rPr>
                <w:rFonts w:cs="Calibri"/>
              </w:rPr>
              <w:t xml:space="preserve">Omjer broja završenih studenata i broja upisanih studenata u prvu godinu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C629B1" w:rsidP="009C0624">
            <w:pPr>
              <w:jc w:val="center"/>
              <w:rPr>
                <w:rFonts w:cs="Calibri"/>
              </w:rPr>
            </w:pPr>
            <w:r w:rsidRPr="00ED18F2">
              <w:rPr>
                <w:rFonts w:cs="Calibri"/>
              </w:rPr>
              <w:t>Broj studen</w:t>
            </w:r>
            <w:r w:rsidR="00C04B3C">
              <w:rPr>
                <w:rFonts w:cs="Calibri"/>
              </w:rPr>
              <w:t>a</w:t>
            </w:r>
            <w:r w:rsidRPr="00ED18F2">
              <w:rPr>
                <w:rFonts w:cs="Calibri"/>
              </w:rPr>
              <w:t>ta upisanih u prvu godinu u odnosu na broj studen</w:t>
            </w:r>
            <w:r w:rsidR="00C04B3C">
              <w:rPr>
                <w:rFonts w:cs="Calibri"/>
              </w:rPr>
              <w:t>a</w:t>
            </w:r>
            <w:r w:rsidRPr="00ED18F2">
              <w:rPr>
                <w:rFonts w:cs="Calibri"/>
              </w:rPr>
              <w:t>ta koji su završili studij 202</w:t>
            </w:r>
            <w:r w:rsidR="009C0624">
              <w:rPr>
                <w:rFonts w:cs="Calibri"/>
              </w:rPr>
              <w:t>3</w:t>
            </w:r>
            <w:r w:rsidRPr="00ED18F2">
              <w:rPr>
                <w:rFonts w:cs="Calibri"/>
              </w:rPr>
              <w:t>/202</w:t>
            </w:r>
            <w:r w:rsidR="009C0624">
              <w:rPr>
                <w:rFonts w:cs="Calibri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C629B1" w:rsidP="00C629B1">
            <w:pPr>
              <w:jc w:val="center"/>
              <w:rPr>
                <w:rFonts w:cs="Calibri"/>
              </w:rPr>
            </w:pPr>
            <w:r w:rsidRPr="00ED18F2">
              <w:rPr>
                <w:rFonts w:cs="Calibri"/>
              </w:rPr>
              <w:t>Broj studenata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9C0624" w:rsidP="009C062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89</w:t>
            </w:r>
            <w:r w:rsidR="00323DB6" w:rsidRPr="00ED18F2">
              <w:rPr>
                <w:rFonts w:cs="Calibri"/>
              </w:rPr>
              <w:t>:</w:t>
            </w:r>
            <w:r>
              <w:rPr>
                <w:rFonts w:cs="Calibri"/>
              </w:rPr>
              <w:t>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C629B1" w:rsidP="00C629B1">
            <w:pPr>
              <w:jc w:val="center"/>
              <w:rPr>
                <w:rFonts w:cs="Calibri"/>
              </w:rPr>
            </w:pPr>
            <w:r w:rsidRPr="00ED18F2">
              <w:rPr>
                <w:rFonts w:cs="Calibri"/>
              </w:rPr>
              <w:t>Odsjek za diplomsku nastavu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9C0624" w:rsidP="00E051A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38</w:t>
            </w:r>
            <w:r w:rsidR="00C629B1" w:rsidRPr="00ED18F2">
              <w:rPr>
                <w:rFonts w:cs="Calibri"/>
              </w:rPr>
              <w:t>:</w:t>
            </w:r>
            <w:r w:rsidR="00323DB6" w:rsidRPr="00ED18F2">
              <w:rPr>
                <w:rFonts w:cs="Calibri"/>
              </w:rPr>
              <w:t>3</w:t>
            </w:r>
            <w:r w:rsidR="00E051A3">
              <w:rPr>
                <w:rFonts w:cs="Calibri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9C0624" w:rsidP="009C062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70</w:t>
            </w:r>
            <w:r w:rsidR="00C629B1" w:rsidRPr="00ED18F2">
              <w:rPr>
                <w:rFonts w:cs="Calibri"/>
              </w:rPr>
              <w:t>:3</w:t>
            </w:r>
            <w:r>
              <w:rPr>
                <w:rFonts w:cs="Calibri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9C0624" w:rsidP="009C062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323DB6" w:rsidRPr="00ED18F2">
              <w:rPr>
                <w:rFonts w:cs="Calibri"/>
              </w:rPr>
              <w:t>0</w:t>
            </w:r>
            <w:r w:rsidR="00C629B1" w:rsidRPr="00ED18F2">
              <w:rPr>
                <w:rFonts w:cs="Calibri"/>
              </w:rPr>
              <w:t>:</w:t>
            </w:r>
            <w:r w:rsidR="00323DB6" w:rsidRPr="00ED18F2">
              <w:rPr>
                <w:rFonts w:cs="Calibri"/>
              </w:rPr>
              <w:t>3</w:t>
            </w:r>
            <w:r>
              <w:rPr>
                <w:rFonts w:cs="Calibri"/>
              </w:rPr>
              <w:t>6</w:t>
            </w:r>
          </w:p>
        </w:tc>
      </w:tr>
      <w:tr w:rsidR="00E306E9" w:rsidRPr="00ED18F2" w:rsidTr="00E306E9">
        <w:trPr>
          <w:trHeight w:val="50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B1" w:rsidRPr="00ED18F2" w:rsidRDefault="00C629B1" w:rsidP="00C629B1">
            <w:pPr>
              <w:jc w:val="center"/>
              <w:rPr>
                <w:rFonts w:cs="Calibri"/>
              </w:rPr>
            </w:pPr>
            <w:r w:rsidRPr="00ED18F2">
              <w:rPr>
                <w:rFonts w:cs="Calibri"/>
              </w:rPr>
              <w:t xml:space="preserve">Broj studenata koji su stekli minimalno 55 ECTS bodova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C629B1" w:rsidP="00C629B1">
            <w:pPr>
              <w:rPr>
                <w:rFonts w:cs="Calibri"/>
              </w:rPr>
            </w:pPr>
            <w:r w:rsidRPr="00ED18F2">
              <w:rPr>
                <w:rFonts w:cs="Calibri"/>
              </w:rPr>
              <w:t>Studenti koji su stekli minimalno 55 ECTS bodova</w:t>
            </w:r>
          </w:p>
          <w:p w:rsidR="00C629B1" w:rsidRPr="00ED18F2" w:rsidRDefault="00C629B1" w:rsidP="009C0624">
            <w:pPr>
              <w:rPr>
                <w:rFonts w:cs="Calibri"/>
              </w:rPr>
            </w:pPr>
            <w:r w:rsidRPr="00ED18F2">
              <w:rPr>
                <w:rFonts w:cs="Calibri"/>
              </w:rPr>
              <w:t>202</w:t>
            </w:r>
            <w:r w:rsidR="009C0624">
              <w:rPr>
                <w:rFonts w:cs="Calibri"/>
              </w:rPr>
              <w:t>3</w:t>
            </w:r>
            <w:r w:rsidRPr="00ED18F2">
              <w:rPr>
                <w:rFonts w:cs="Calibri"/>
              </w:rPr>
              <w:t>/202</w:t>
            </w:r>
            <w:r w:rsidR="009C0624">
              <w:rPr>
                <w:rFonts w:cs="Calibri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C629B1" w:rsidP="00C629B1">
            <w:pPr>
              <w:jc w:val="center"/>
              <w:rPr>
                <w:rFonts w:cs="Calibri"/>
              </w:rPr>
            </w:pPr>
            <w:r w:rsidRPr="00ED18F2">
              <w:rPr>
                <w:rFonts w:cs="Calibri"/>
              </w:rPr>
              <w:t>Broj studenata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9C0624" w:rsidP="009C062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C629B1" w:rsidP="00C629B1">
            <w:pPr>
              <w:jc w:val="center"/>
              <w:rPr>
                <w:rFonts w:cs="Calibri"/>
              </w:rPr>
            </w:pPr>
            <w:r w:rsidRPr="00ED18F2">
              <w:rPr>
                <w:rFonts w:cs="Calibri"/>
              </w:rPr>
              <w:t>Odsjek za diplomsku nastavu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9C0624" w:rsidP="00C629B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</w:t>
            </w:r>
            <w:r w:rsidR="00E051A3">
              <w:rPr>
                <w:rFonts w:cs="Calibri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9C0624" w:rsidP="00C629B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  <w:r w:rsidR="00E051A3">
              <w:rPr>
                <w:rFonts w:cs="Calibri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323DB6" w:rsidP="009C0624">
            <w:pPr>
              <w:jc w:val="center"/>
              <w:rPr>
                <w:rFonts w:cs="Calibri"/>
              </w:rPr>
            </w:pPr>
            <w:r w:rsidRPr="00ED18F2">
              <w:rPr>
                <w:rFonts w:cs="Calibri"/>
              </w:rPr>
              <w:t>2</w:t>
            </w:r>
            <w:r w:rsidR="009C0624">
              <w:rPr>
                <w:rFonts w:cs="Calibri"/>
              </w:rPr>
              <w:t>1</w:t>
            </w:r>
            <w:r w:rsidR="00E051A3">
              <w:rPr>
                <w:rFonts w:cs="Calibri"/>
              </w:rPr>
              <w:t>0</w:t>
            </w:r>
          </w:p>
        </w:tc>
      </w:tr>
    </w:tbl>
    <w:p w:rsidR="00C629B1" w:rsidRPr="00ED18F2" w:rsidRDefault="00C629B1" w:rsidP="00C629B1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/>
          <w:sz w:val="22"/>
          <w:szCs w:val="22"/>
        </w:rPr>
      </w:pPr>
      <w:r w:rsidRPr="00ED18F2">
        <w:rPr>
          <w:rFonts w:ascii="Calibri" w:hAnsi="Calibri" w:cs="Calibri"/>
          <w:b/>
          <w:sz w:val="22"/>
          <w:szCs w:val="22"/>
        </w:rPr>
        <w:t xml:space="preserve">    POKAZATELJI UČINKA:</w:t>
      </w:r>
    </w:p>
    <w:p w:rsidR="00C629B1" w:rsidRPr="00ED18F2" w:rsidRDefault="00C629B1" w:rsidP="00C629B1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Y="2"/>
        <w:tblOverlap w:val="never"/>
        <w:tblW w:w="10188" w:type="dxa"/>
        <w:tblLayout w:type="fixed"/>
        <w:tblLook w:val="00A0" w:firstRow="1" w:lastRow="0" w:firstColumn="1" w:lastColumn="0" w:noHBand="0" w:noVBand="0"/>
      </w:tblPr>
      <w:tblGrid>
        <w:gridCol w:w="1711"/>
        <w:gridCol w:w="1548"/>
        <w:gridCol w:w="1016"/>
        <w:gridCol w:w="1092"/>
        <w:gridCol w:w="1554"/>
        <w:gridCol w:w="1154"/>
        <w:gridCol w:w="1079"/>
        <w:gridCol w:w="1034"/>
      </w:tblGrid>
      <w:tr w:rsidR="00C629B1" w:rsidRPr="00ED18F2" w:rsidTr="009C0624">
        <w:trPr>
          <w:trHeight w:val="691"/>
        </w:trPr>
        <w:tc>
          <w:tcPr>
            <w:tcW w:w="10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629B1" w:rsidRPr="00ED18F2" w:rsidRDefault="00C629B1" w:rsidP="00C629B1">
            <w:pPr>
              <w:jc w:val="center"/>
              <w:rPr>
                <w:rFonts w:cs="Calibri"/>
                <w:b/>
                <w:bCs/>
              </w:rPr>
            </w:pPr>
            <w:r w:rsidRPr="00ED18F2">
              <w:rPr>
                <w:rFonts w:cs="Calibri"/>
                <w:b/>
                <w:bCs/>
              </w:rPr>
              <w:lastRenderedPageBreak/>
              <w:t>Sveučilišni doktorski studij</w:t>
            </w:r>
          </w:p>
        </w:tc>
      </w:tr>
      <w:tr w:rsidR="009C0624" w:rsidRPr="00ED18F2" w:rsidTr="009C0624">
        <w:trPr>
          <w:trHeight w:val="69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629B1" w:rsidRPr="00ED18F2" w:rsidRDefault="00C629B1" w:rsidP="00C629B1">
            <w:pPr>
              <w:jc w:val="center"/>
              <w:rPr>
                <w:rFonts w:cs="Calibri"/>
                <w:b/>
                <w:bCs/>
              </w:rPr>
            </w:pPr>
            <w:r w:rsidRPr="00ED18F2">
              <w:rPr>
                <w:rFonts w:cs="Calibri"/>
                <w:b/>
                <w:bCs/>
              </w:rPr>
              <w:t>Pokazatelj</w:t>
            </w:r>
          </w:p>
          <w:p w:rsidR="00C629B1" w:rsidRPr="00ED18F2" w:rsidRDefault="00C629B1" w:rsidP="00C629B1">
            <w:pPr>
              <w:jc w:val="center"/>
              <w:rPr>
                <w:rFonts w:cs="Calibri"/>
                <w:b/>
                <w:bCs/>
              </w:rPr>
            </w:pPr>
            <w:r w:rsidRPr="00ED18F2">
              <w:rPr>
                <w:rFonts w:cs="Calibri"/>
                <w:b/>
                <w:bCs/>
              </w:rPr>
              <w:t>rezultata</w:t>
            </w:r>
          </w:p>
          <w:p w:rsidR="00C629B1" w:rsidRPr="00ED18F2" w:rsidRDefault="00C629B1" w:rsidP="00C629B1">
            <w:pPr>
              <w:rPr>
                <w:rFonts w:cs="Calibri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29B1" w:rsidRPr="00ED18F2" w:rsidRDefault="00C629B1" w:rsidP="00C629B1">
            <w:pPr>
              <w:jc w:val="center"/>
              <w:rPr>
                <w:rFonts w:cs="Calibri"/>
                <w:b/>
                <w:bCs/>
              </w:rPr>
            </w:pPr>
            <w:r w:rsidRPr="00ED18F2">
              <w:rPr>
                <w:rFonts w:cs="Calibri"/>
                <w:b/>
                <w:bCs/>
              </w:rPr>
              <w:t>Definicija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29B1" w:rsidRPr="00ED18F2" w:rsidRDefault="00C629B1" w:rsidP="00C629B1">
            <w:pPr>
              <w:jc w:val="center"/>
              <w:rPr>
                <w:rFonts w:cs="Calibri"/>
                <w:b/>
                <w:bCs/>
              </w:rPr>
            </w:pPr>
            <w:r w:rsidRPr="00ED18F2">
              <w:rPr>
                <w:rFonts w:cs="Calibri"/>
                <w:b/>
                <w:bCs/>
              </w:rPr>
              <w:t>Jedinica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29B1" w:rsidRPr="00ED18F2" w:rsidRDefault="00C629B1" w:rsidP="00C0162E">
            <w:pPr>
              <w:jc w:val="center"/>
              <w:rPr>
                <w:rFonts w:cs="Calibri"/>
                <w:b/>
                <w:bCs/>
              </w:rPr>
            </w:pPr>
            <w:r w:rsidRPr="00ED18F2">
              <w:rPr>
                <w:rFonts w:cs="Calibri"/>
                <w:b/>
                <w:bCs/>
              </w:rPr>
              <w:t>Polazna vrijednost</w:t>
            </w:r>
            <w:r w:rsidR="00E051A3">
              <w:rPr>
                <w:rFonts w:cs="Calibri"/>
                <w:b/>
                <w:bCs/>
              </w:rPr>
              <w:t xml:space="preserve"> </w:t>
            </w:r>
            <w:r w:rsidR="00C0162E">
              <w:rPr>
                <w:rFonts w:cs="Calibri"/>
                <w:b/>
                <w:bCs/>
              </w:rPr>
              <w:t>2024.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29B1" w:rsidRPr="00ED18F2" w:rsidRDefault="00C629B1" w:rsidP="00C629B1">
            <w:pPr>
              <w:jc w:val="center"/>
              <w:rPr>
                <w:rFonts w:cs="Calibri"/>
                <w:b/>
                <w:bCs/>
              </w:rPr>
            </w:pPr>
            <w:r w:rsidRPr="00ED18F2">
              <w:rPr>
                <w:rFonts w:cs="Calibri"/>
                <w:b/>
                <w:bCs/>
              </w:rPr>
              <w:t>Izvor podataka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29B1" w:rsidRPr="00ED18F2" w:rsidRDefault="00C629B1" w:rsidP="00E051A3">
            <w:pPr>
              <w:jc w:val="center"/>
              <w:rPr>
                <w:rFonts w:cs="Calibri"/>
                <w:b/>
                <w:bCs/>
              </w:rPr>
            </w:pPr>
            <w:r w:rsidRPr="00ED18F2">
              <w:rPr>
                <w:rFonts w:cs="Calibri"/>
                <w:b/>
                <w:bCs/>
              </w:rPr>
              <w:t>Ciljana vrijednost 202</w:t>
            </w:r>
            <w:r w:rsidR="00E051A3">
              <w:rPr>
                <w:rFonts w:cs="Calibri"/>
                <w:b/>
                <w:bCs/>
              </w:rPr>
              <w:t>4</w:t>
            </w:r>
            <w:r w:rsidRPr="00ED18F2">
              <w:rPr>
                <w:rFonts w:cs="Calibri"/>
                <w:b/>
                <w:bCs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29B1" w:rsidRPr="00ED18F2" w:rsidRDefault="00C629B1" w:rsidP="00E051A3">
            <w:pPr>
              <w:jc w:val="center"/>
              <w:rPr>
                <w:rFonts w:cs="Calibri"/>
                <w:b/>
                <w:bCs/>
              </w:rPr>
            </w:pPr>
            <w:r w:rsidRPr="00ED18F2">
              <w:rPr>
                <w:rFonts w:cs="Calibri"/>
                <w:b/>
                <w:bCs/>
              </w:rPr>
              <w:t>Ciljana vrijednost 202</w:t>
            </w:r>
            <w:r w:rsidR="00E051A3">
              <w:rPr>
                <w:rFonts w:cs="Calibri"/>
                <w:b/>
                <w:bCs/>
              </w:rPr>
              <w:t>5</w:t>
            </w:r>
            <w:r w:rsidR="00323DB6" w:rsidRPr="00ED18F2">
              <w:rPr>
                <w:rFonts w:cs="Calibri"/>
                <w:b/>
                <w:bCs/>
              </w:rPr>
              <w:t>.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29B1" w:rsidRPr="00ED18F2" w:rsidRDefault="00C629B1" w:rsidP="00E051A3">
            <w:pPr>
              <w:jc w:val="center"/>
              <w:rPr>
                <w:rFonts w:cs="Calibri"/>
                <w:b/>
                <w:bCs/>
              </w:rPr>
            </w:pPr>
            <w:r w:rsidRPr="00ED18F2">
              <w:rPr>
                <w:rFonts w:cs="Calibri"/>
                <w:b/>
                <w:bCs/>
              </w:rPr>
              <w:t>Ciljana vrijednost 202</w:t>
            </w:r>
            <w:r w:rsidR="00E051A3">
              <w:rPr>
                <w:rFonts w:cs="Calibri"/>
                <w:b/>
                <w:bCs/>
              </w:rPr>
              <w:t>6</w:t>
            </w:r>
            <w:r w:rsidRPr="00ED18F2">
              <w:rPr>
                <w:rFonts w:cs="Calibri"/>
                <w:b/>
                <w:bCs/>
              </w:rPr>
              <w:t>.</w:t>
            </w:r>
          </w:p>
        </w:tc>
      </w:tr>
      <w:tr w:rsidR="009C0624" w:rsidRPr="00ED18F2" w:rsidTr="009C0624">
        <w:trPr>
          <w:trHeight w:val="507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B1" w:rsidRPr="00ED18F2" w:rsidRDefault="00323DB6" w:rsidP="00C629B1">
            <w:pPr>
              <w:jc w:val="center"/>
              <w:rPr>
                <w:rFonts w:cs="Calibri"/>
              </w:rPr>
            </w:pPr>
            <w:r w:rsidRPr="00ED18F2">
              <w:rPr>
                <w:rFonts w:cs="Calibri"/>
              </w:rPr>
              <w:t>Broj studenata na specijalističkom poslijediplomskom studiju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C629B1" w:rsidP="00C0162E">
            <w:pPr>
              <w:jc w:val="center"/>
              <w:rPr>
                <w:rFonts w:cs="Calibri"/>
              </w:rPr>
            </w:pPr>
            <w:r w:rsidRPr="00ED18F2">
              <w:rPr>
                <w:rFonts w:cs="Calibri"/>
              </w:rPr>
              <w:t>Broj studen</w:t>
            </w:r>
            <w:r w:rsidR="00C04B3C">
              <w:rPr>
                <w:rFonts w:cs="Calibri"/>
              </w:rPr>
              <w:t>a</w:t>
            </w:r>
            <w:r w:rsidRPr="00ED18F2">
              <w:rPr>
                <w:rFonts w:cs="Calibri"/>
              </w:rPr>
              <w:t xml:space="preserve">ta upisanih </w:t>
            </w:r>
            <w:r w:rsidR="00323DB6" w:rsidRPr="00ED18F2">
              <w:rPr>
                <w:rFonts w:cs="Calibri"/>
              </w:rPr>
              <w:t>na specijalističke poslijediplomske studije u ak. godini 202</w:t>
            </w:r>
            <w:r w:rsidR="00C0162E">
              <w:rPr>
                <w:rFonts w:cs="Calibri"/>
              </w:rPr>
              <w:t>3</w:t>
            </w:r>
            <w:r w:rsidR="00323DB6" w:rsidRPr="00ED18F2">
              <w:rPr>
                <w:rFonts w:cs="Calibri"/>
              </w:rPr>
              <w:t>/202</w:t>
            </w:r>
            <w:r w:rsidR="00C0162E">
              <w:rPr>
                <w:rFonts w:cs="Calibri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C629B1" w:rsidP="00C629B1">
            <w:pPr>
              <w:jc w:val="center"/>
              <w:rPr>
                <w:rFonts w:cs="Calibri"/>
              </w:rPr>
            </w:pPr>
            <w:r w:rsidRPr="00ED18F2">
              <w:rPr>
                <w:rFonts w:cs="Calibri"/>
              </w:rPr>
              <w:t>Broj studenata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C0162E" w:rsidP="00C629B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C629B1" w:rsidP="00C629B1">
            <w:pPr>
              <w:jc w:val="center"/>
              <w:rPr>
                <w:rFonts w:cs="Calibri"/>
              </w:rPr>
            </w:pPr>
            <w:r w:rsidRPr="00ED18F2">
              <w:rPr>
                <w:rFonts w:cs="Calibri"/>
              </w:rPr>
              <w:t>Odsjek za poslijediplomsku nastavu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E051A3" w:rsidP="00C629B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323DB6" w:rsidRPr="00ED18F2">
              <w:rPr>
                <w:rFonts w:cs="Calibri"/>
              </w:rPr>
              <w:t>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E051A3" w:rsidP="00373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E051A3" w:rsidP="00C629B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600</w:t>
            </w:r>
          </w:p>
        </w:tc>
      </w:tr>
      <w:tr w:rsidR="009C0624" w:rsidRPr="00ED18F2" w:rsidTr="009C0624">
        <w:trPr>
          <w:trHeight w:val="507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B1" w:rsidRPr="00ED18F2" w:rsidRDefault="00C629B1" w:rsidP="00C629B1">
            <w:pPr>
              <w:jc w:val="center"/>
              <w:rPr>
                <w:rFonts w:cs="Calibri"/>
              </w:rPr>
            </w:pPr>
            <w:r w:rsidRPr="00ED18F2">
              <w:rPr>
                <w:rFonts w:cs="Calibri"/>
              </w:rPr>
              <w:t>Omjer broja završenih studenata i broja upisanih studenata u prvu godinu doktorskog studija Biomedicina i zdravstvo na engleskom jeziku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9C0624" w:rsidRDefault="00C629B1" w:rsidP="00C0162E">
            <w:pPr>
              <w:spacing w:after="176" w:line="252" w:lineRule="auto"/>
              <w:ind w:right="4"/>
              <w:jc w:val="center"/>
              <w:rPr>
                <w:sz w:val="24"/>
                <w:szCs w:val="24"/>
              </w:rPr>
            </w:pPr>
            <w:r w:rsidRPr="009C0624">
              <w:rPr>
                <w:rFonts w:cs="Calibri"/>
              </w:rPr>
              <w:t>Broj studen</w:t>
            </w:r>
            <w:r w:rsidR="00C04B3C" w:rsidRPr="009C0624">
              <w:rPr>
                <w:rFonts w:cs="Calibri"/>
              </w:rPr>
              <w:t>a</w:t>
            </w:r>
            <w:r w:rsidRPr="009C0624">
              <w:rPr>
                <w:rFonts w:cs="Calibri"/>
              </w:rPr>
              <w:t>ta</w:t>
            </w:r>
            <w:r w:rsidR="009C0624">
              <w:rPr>
                <w:sz w:val="24"/>
                <w:szCs w:val="24"/>
              </w:rPr>
              <w:t xml:space="preserve"> </w:t>
            </w:r>
            <w:r w:rsidRPr="00ED18F2">
              <w:rPr>
                <w:rFonts w:cs="Calibri"/>
              </w:rPr>
              <w:t>upisanih</w:t>
            </w:r>
            <w:r w:rsidR="009C0624">
              <w:rPr>
                <w:rFonts w:cs="Calibri"/>
              </w:rPr>
              <w:t xml:space="preserve"> </w:t>
            </w:r>
            <w:r w:rsidRPr="00ED18F2">
              <w:rPr>
                <w:rFonts w:cs="Calibri"/>
              </w:rPr>
              <w:t xml:space="preserve">u prvu godinu </w:t>
            </w:r>
            <w:r w:rsidR="009C0624">
              <w:rPr>
                <w:rFonts w:cs="Calibri"/>
              </w:rPr>
              <w:t xml:space="preserve">doktorskog studija </w:t>
            </w:r>
            <w:r w:rsidRPr="00ED18F2">
              <w:rPr>
                <w:rFonts w:cs="Calibri"/>
              </w:rPr>
              <w:t>u odn</w:t>
            </w:r>
            <w:r w:rsidR="003733ED" w:rsidRPr="00ED18F2">
              <w:rPr>
                <w:rFonts w:cs="Calibri"/>
              </w:rPr>
              <w:t>o</w:t>
            </w:r>
            <w:r w:rsidRPr="00ED18F2">
              <w:rPr>
                <w:rFonts w:cs="Calibri"/>
              </w:rPr>
              <w:t xml:space="preserve">su na broj studenta koji su završili studij </w:t>
            </w:r>
            <w:r w:rsidR="003733ED" w:rsidRPr="00ED18F2">
              <w:rPr>
                <w:rFonts w:cs="Calibri"/>
              </w:rPr>
              <w:t>u 202</w:t>
            </w:r>
            <w:r w:rsidR="00C0162E">
              <w:rPr>
                <w:rFonts w:cs="Calibri"/>
              </w:rPr>
              <w:t>3</w:t>
            </w:r>
            <w:r w:rsidR="003733ED" w:rsidRPr="00ED18F2">
              <w:rPr>
                <w:rFonts w:cs="Calibri"/>
              </w:rPr>
              <w:t>/202</w:t>
            </w:r>
            <w:r w:rsidR="00C0162E">
              <w:rPr>
                <w:rFonts w:cs="Calibri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C629B1" w:rsidP="00C629B1">
            <w:pPr>
              <w:jc w:val="center"/>
              <w:rPr>
                <w:rFonts w:cs="Calibri"/>
              </w:rPr>
            </w:pPr>
            <w:r w:rsidRPr="00ED18F2">
              <w:rPr>
                <w:rFonts w:cs="Calibri"/>
              </w:rPr>
              <w:t>Broj studenata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99302A" w:rsidP="0099302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3733ED" w:rsidRPr="00ED18F2">
              <w:rPr>
                <w:rFonts w:cs="Calibri"/>
              </w:rPr>
              <w:t>:</w:t>
            </w:r>
            <w:r>
              <w:rPr>
                <w:rFonts w:cs="Calibri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C629B1" w:rsidP="00C629B1">
            <w:pPr>
              <w:jc w:val="center"/>
              <w:rPr>
                <w:rFonts w:cs="Calibri"/>
              </w:rPr>
            </w:pPr>
            <w:r w:rsidRPr="00ED18F2">
              <w:rPr>
                <w:rFonts w:cs="Calibri"/>
              </w:rPr>
              <w:t>Odsjek za poslijediplomsku nastavu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E051A3" w:rsidP="00E051A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3733ED" w:rsidRPr="00ED18F2">
              <w:rPr>
                <w:rFonts w:cs="Calibri"/>
              </w:rPr>
              <w:t>:</w:t>
            </w:r>
            <w:r>
              <w:rPr>
                <w:rFonts w:cs="Calibri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3733ED" w:rsidP="00C629B1">
            <w:pPr>
              <w:jc w:val="center"/>
              <w:rPr>
                <w:rFonts w:cs="Calibri"/>
              </w:rPr>
            </w:pPr>
            <w:r w:rsidRPr="00ED18F2">
              <w:rPr>
                <w:rFonts w:cs="Calibri"/>
              </w:rPr>
              <w:t>4:10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3733ED" w:rsidP="00C629B1">
            <w:pPr>
              <w:jc w:val="center"/>
              <w:rPr>
                <w:rFonts w:cs="Calibri"/>
              </w:rPr>
            </w:pPr>
            <w:r w:rsidRPr="00ED18F2">
              <w:rPr>
                <w:rFonts w:cs="Calibri"/>
              </w:rPr>
              <w:t>4:10</w:t>
            </w:r>
          </w:p>
        </w:tc>
      </w:tr>
      <w:tr w:rsidR="009C0624" w:rsidRPr="00ED18F2" w:rsidTr="009C0624">
        <w:trPr>
          <w:trHeight w:val="507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9B1" w:rsidRPr="00ED18F2" w:rsidRDefault="003733ED" w:rsidP="003733ED">
            <w:pPr>
              <w:jc w:val="center"/>
              <w:rPr>
                <w:rFonts w:cs="Calibri"/>
              </w:rPr>
            </w:pPr>
            <w:r w:rsidRPr="00ED18F2">
              <w:rPr>
                <w:rFonts w:cs="Calibri"/>
              </w:rPr>
              <w:t>Omjer broja završenih studenata i broja upisanih studenata u prvu godinu doktorskog studija Biomedicina i zdravstvo na hrvatskom jeziku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629B1" w:rsidRPr="00ED18F2" w:rsidRDefault="003733ED" w:rsidP="00C0162E">
            <w:pPr>
              <w:jc w:val="center"/>
              <w:rPr>
                <w:rFonts w:cs="Calibri"/>
              </w:rPr>
            </w:pPr>
            <w:r w:rsidRPr="00ED18F2">
              <w:rPr>
                <w:rFonts w:cs="Calibri"/>
              </w:rPr>
              <w:t>Broj studen</w:t>
            </w:r>
            <w:r w:rsidR="00C04B3C">
              <w:rPr>
                <w:rFonts w:cs="Calibri"/>
              </w:rPr>
              <w:t>a</w:t>
            </w:r>
            <w:r w:rsidRPr="00ED18F2">
              <w:rPr>
                <w:rFonts w:cs="Calibri"/>
              </w:rPr>
              <w:t>ta upisanih u prvu godinu doktorskog studija u odnosu na broj studenta koji su završili studij u 202</w:t>
            </w:r>
            <w:r w:rsidR="00C0162E">
              <w:rPr>
                <w:rFonts w:cs="Calibri"/>
              </w:rPr>
              <w:t>3</w:t>
            </w:r>
            <w:r w:rsidRPr="00ED18F2">
              <w:rPr>
                <w:rFonts w:cs="Calibri"/>
              </w:rPr>
              <w:t>/202</w:t>
            </w:r>
            <w:r w:rsidR="00C0162E">
              <w:rPr>
                <w:rFonts w:cs="Calibri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629B1" w:rsidRPr="00ED18F2" w:rsidRDefault="00C629B1" w:rsidP="00C629B1">
            <w:pPr>
              <w:jc w:val="center"/>
              <w:rPr>
                <w:rFonts w:cs="Calibri"/>
              </w:rPr>
            </w:pPr>
            <w:r w:rsidRPr="00ED18F2">
              <w:rPr>
                <w:rFonts w:cs="Calibri"/>
              </w:rPr>
              <w:t>Broj studenata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629B1" w:rsidRPr="00ED18F2" w:rsidRDefault="00E051A3" w:rsidP="00C0162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C0162E">
              <w:rPr>
                <w:rFonts w:cs="Calibri"/>
              </w:rPr>
              <w:t>2</w:t>
            </w:r>
            <w:r w:rsidR="003733ED" w:rsidRPr="00ED18F2">
              <w:rPr>
                <w:rFonts w:cs="Calibri"/>
              </w:rPr>
              <w:t>:</w:t>
            </w:r>
            <w:r w:rsidR="00C0162E">
              <w:rPr>
                <w:rFonts w:cs="Calibri"/>
              </w:rPr>
              <w:t>65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629B1" w:rsidRPr="00ED18F2" w:rsidRDefault="00C629B1" w:rsidP="00C629B1">
            <w:pPr>
              <w:jc w:val="center"/>
              <w:rPr>
                <w:rFonts w:cs="Calibri"/>
              </w:rPr>
            </w:pPr>
            <w:r w:rsidRPr="00ED18F2">
              <w:rPr>
                <w:rFonts w:cs="Calibri"/>
              </w:rPr>
              <w:t>Odsjek za poslijediplomsku nastavu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629B1" w:rsidRPr="00ED18F2" w:rsidRDefault="00C0162E" w:rsidP="00C0162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62</w:t>
            </w:r>
            <w:r w:rsidR="00C629B1" w:rsidRPr="00ED18F2">
              <w:rPr>
                <w:rFonts w:cs="Calibri"/>
              </w:rPr>
              <w:t>:</w:t>
            </w:r>
            <w:r>
              <w:rPr>
                <w:rFonts w:cs="Calibri"/>
              </w:rPr>
              <w:t>6</w:t>
            </w:r>
            <w:r w:rsidR="003733ED" w:rsidRPr="00ED18F2">
              <w:rPr>
                <w:rFonts w:cs="Calibri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629B1" w:rsidRPr="00ED18F2" w:rsidRDefault="003733ED" w:rsidP="00C0162E">
            <w:pPr>
              <w:jc w:val="center"/>
              <w:rPr>
                <w:rFonts w:cs="Calibri"/>
              </w:rPr>
            </w:pPr>
            <w:r w:rsidRPr="00ED18F2">
              <w:rPr>
                <w:rFonts w:cs="Calibri"/>
              </w:rPr>
              <w:t>6</w:t>
            </w:r>
            <w:r w:rsidR="00C0162E">
              <w:rPr>
                <w:rFonts w:cs="Calibri"/>
              </w:rPr>
              <w:t>2</w:t>
            </w:r>
            <w:r w:rsidR="00C629B1" w:rsidRPr="00ED18F2">
              <w:rPr>
                <w:rFonts w:cs="Calibri"/>
              </w:rPr>
              <w:t>:</w:t>
            </w:r>
            <w:r w:rsidR="00C0162E">
              <w:rPr>
                <w:rFonts w:cs="Calibri"/>
              </w:rPr>
              <w:t>6</w:t>
            </w:r>
            <w:r w:rsidR="00E051A3">
              <w:rPr>
                <w:rFonts w:cs="Calibri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629B1" w:rsidRPr="00ED18F2" w:rsidRDefault="003733ED" w:rsidP="00C0162E">
            <w:pPr>
              <w:jc w:val="center"/>
              <w:rPr>
                <w:rFonts w:cs="Calibri"/>
              </w:rPr>
            </w:pPr>
            <w:r w:rsidRPr="00ED18F2">
              <w:rPr>
                <w:rFonts w:cs="Calibri"/>
              </w:rPr>
              <w:t>6</w:t>
            </w:r>
            <w:r w:rsidR="00C0162E">
              <w:rPr>
                <w:rFonts w:cs="Calibri"/>
              </w:rPr>
              <w:t>2</w:t>
            </w:r>
            <w:r w:rsidR="00C629B1" w:rsidRPr="00ED18F2">
              <w:rPr>
                <w:rFonts w:cs="Calibri"/>
              </w:rPr>
              <w:t>:</w:t>
            </w:r>
            <w:r w:rsidR="00C0162E">
              <w:rPr>
                <w:rFonts w:cs="Calibri"/>
              </w:rPr>
              <w:t>6</w:t>
            </w:r>
            <w:r w:rsidR="00E051A3">
              <w:rPr>
                <w:rFonts w:cs="Calibri"/>
              </w:rPr>
              <w:t>0</w:t>
            </w:r>
          </w:p>
        </w:tc>
      </w:tr>
      <w:tr w:rsidR="009C0624" w:rsidRPr="00ED18F2" w:rsidTr="009C0624">
        <w:trPr>
          <w:trHeight w:val="107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B1" w:rsidRPr="00ED18F2" w:rsidRDefault="00C629B1" w:rsidP="00C629B1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C629B1" w:rsidP="00C629B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C629B1" w:rsidP="00C629B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C629B1" w:rsidP="00C629B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C629B1" w:rsidP="00C629B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C629B1" w:rsidP="00C629B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C629B1" w:rsidP="00C629B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9B1" w:rsidRPr="00ED18F2" w:rsidRDefault="00C629B1" w:rsidP="00C629B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C629B1" w:rsidRPr="00ED18F2" w:rsidRDefault="00C629B1" w:rsidP="00C629B1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</w:rPr>
      </w:pPr>
    </w:p>
    <w:p w:rsidR="005A7258" w:rsidRPr="00ED18F2" w:rsidRDefault="005A7258" w:rsidP="005A7258">
      <w:pPr>
        <w:ind w:right="6"/>
        <w:rPr>
          <w:rFonts w:cs="Calibri"/>
          <w:b/>
          <w:sz w:val="24"/>
          <w:szCs w:val="24"/>
        </w:rPr>
      </w:pPr>
      <w:r w:rsidRPr="00ED18F2">
        <w:rPr>
          <w:rFonts w:cs="Calibri"/>
          <w:b/>
          <w:sz w:val="24"/>
          <w:szCs w:val="24"/>
        </w:rPr>
        <w:t xml:space="preserve">CILJ 2. ZNANSTVENA DJELATNOST </w:t>
      </w:r>
    </w:p>
    <w:p w:rsidR="005A7258" w:rsidRPr="00ED18F2" w:rsidRDefault="005A7258" w:rsidP="005A7258">
      <w:pPr>
        <w:spacing w:line="252" w:lineRule="auto"/>
        <w:ind w:left="45" w:right="6" w:hanging="11"/>
        <w:rPr>
          <w:rFonts w:cs="Calibri"/>
          <w:b/>
          <w:sz w:val="24"/>
          <w:szCs w:val="24"/>
        </w:rPr>
      </w:pPr>
      <w:r w:rsidRPr="00ED18F2">
        <w:rPr>
          <w:rFonts w:cs="Calibri"/>
          <w:b/>
          <w:sz w:val="24"/>
          <w:szCs w:val="24"/>
        </w:rPr>
        <w:t xml:space="preserve">            OBRAZLOŽENJE CILJA</w:t>
      </w:r>
    </w:p>
    <w:p w:rsidR="005A7258" w:rsidRDefault="005A7258" w:rsidP="00ED0611">
      <w:pPr>
        <w:spacing w:after="304"/>
        <w:ind w:left="38" w:right="14" w:firstLine="720"/>
        <w:jc w:val="both"/>
        <w:rPr>
          <w:rFonts w:cs="Calibri"/>
          <w:sz w:val="24"/>
          <w:szCs w:val="24"/>
        </w:rPr>
      </w:pPr>
      <w:r w:rsidRPr="00ED18F2">
        <w:rPr>
          <w:rFonts w:cs="Calibri"/>
          <w:sz w:val="24"/>
          <w:szCs w:val="24"/>
        </w:rPr>
        <w:t xml:space="preserve">Izvrsnost bilo koje znanstveno-nastavne institucije u svijetu primarno se mjeri njenim ostvarenim znanstvenim rezultatima. Znanstvena izvrsnost se primarno prikazuje brojem radova objavljenima u najboljim časopisima te najprestižnijim znanstvenim nagradama koje su dobili djelatnici institucije. Stoga su ciljevi Medicinskog fakulteta </w:t>
      </w:r>
      <w:r w:rsidR="00C04B3C">
        <w:rPr>
          <w:rFonts w:cs="Calibri"/>
          <w:sz w:val="24"/>
          <w:szCs w:val="24"/>
        </w:rPr>
        <w:t>primarno bili</w:t>
      </w:r>
      <w:r w:rsidRPr="00ED18F2">
        <w:rPr>
          <w:rFonts w:cs="Calibri"/>
          <w:sz w:val="24"/>
          <w:szCs w:val="24"/>
        </w:rPr>
        <w:t xml:space="preserve"> orijentirani prema </w:t>
      </w:r>
      <w:r w:rsidR="00C04B3C">
        <w:rPr>
          <w:rFonts w:cs="Calibri"/>
          <w:sz w:val="24"/>
          <w:szCs w:val="24"/>
        </w:rPr>
        <w:t>stvaranju preduvjeta i poticanju</w:t>
      </w:r>
      <w:r w:rsidRPr="00ED18F2">
        <w:rPr>
          <w:rFonts w:cs="Calibri"/>
          <w:sz w:val="24"/>
          <w:szCs w:val="24"/>
        </w:rPr>
        <w:t xml:space="preserve"> ostvarivanja izvrsnih znanstvenih rezultata. </w:t>
      </w:r>
    </w:p>
    <w:p w:rsidR="003D7EA6" w:rsidRDefault="003D7EA6" w:rsidP="003D7EA6">
      <w:pPr>
        <w:ind w:right="11"/>
        <w:jc w:val="both"/>
        <w:rPr>
          <w:rFonts w:cs="Calibri"/>
          <w:sz w:val="24"/>
          <w:szCs w:val="24"/>
        </w:rPr>
      </w:pPr>
      <w:r w:rsidRPr="00ED18F2">
        <w:rPr>
          <w:rFonts w:cs="Calibri"/>
          <w:sz w:val="24"/>
          <w:szCs w:val="24"/>
        </w:rPr>
        <w:t xml:space="preserve">Znanstvenici Fakulteta aktivno sudjeluju u brojnim nacionalnim i međunarodnim projektima s različitim međunarodnim institucijama, financiranima od strane različitih istraživačkih organizacija i programa. </w:t>
      </w:r>
    </w:p>
    <w:p w:rsidR="003D7EA6" w:rsidRDefault="003D7EA6" w:rsidP="003D7EA6">
      <w:pPr>
        <w:ind w:right="11"/>
        <w:jc w:val="both"/>
        <w:rPr>
          <w:rFonts w:cs="Calibri"/>
          <w:sz w:val="24"/>
          <w:szCs w:val="24"/>
        </w:rPr>
      </w:pPr>
    </w:p>
    <w:p w:rsidR="00ED18F2" w:rsidRPr="00ED18F2" w:rsidRDefault="00ED18F2" w:rsidP="005A7258">
      <w:pPr>
        <w:rPr>
          <w:rFonts w:cs="Calibri"/>
          <w:sz w:val="24"/>
          <w:szCs w:val="24"/>
        </w:rPr>
      </w:pPr>
    </w:p>
    <w:p w:rsidR="003D7EA6" w:rsidRPr="00ED18F2" w:rsidRDefault="003D7EA6" w:rsidP="003D7EA6">
      <w:pPr>
        <w:framePr w:hSpace="180" w:wrap="around" w:vAnchor="page" w:hAnchor="margin" w:y="1561"/>
        <w:rPr>
          <w:rFonts w:cs="Calibri"/>
          <w:b/>
          <w:bCs/>
          <w:sz w:val="24"/>
          <w:szCs w:val="24"/>
        </w:rPr>
      </w:pPr>
      <w:r w:rsidRPr="00ED18F2">
        <w:rPr>
          <w:rFonts w:cs="Calibri"/>
          <w:b/>
          <w:bCs/>
          <w:sz w:val="24"/>
          <w:szCs w:val="24"/>
        </w:rPr>
        <w:t>POKAZATELJI UČINKA:</w:t>
      </w:r>
    </w:p>
    <w:p w:rsidR="005A7258" w:rsidRPr="00ED18F2" w:rsidRDefault="005A7258" w:rsidP="00F977CF">
      <w:pPr>
        <w:pStyle w:val="StandardWeb"/>
        <w:framePr w:hSpace="180" w:wrap="around" w:vAnchor="page" w:hAnchor="margin" w:y="1561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</w:rPr>
      </w:pPr>
    </w:p>
    <w:p w:rsidR="00C629B1" w:rsidRPr="00ED18F2" w:rsidRDefault="00C629B1" w:rsidP="00F977CF">
      <w:pPr>
        <w:framePr w:hSpace="180" w:wrap="around" w:vAnchor="page" w:hAnchor="margin" w:y="1561"/>
        <w:ind w:right="6"/>
        <w:rPr>
          <w:rFonts w:eastAsia="Times New Roman" w:cs="Calibri"/>
          <w:sz w:val="24"/>
          <w:szCs w:val="24"/>
          <w:lang w:eastAsia="hr-HR"/>
        </w:rPr>
      </w:pPr>
    </w:p>
    <w:tbl>
      <w:tblPr>
        <w:tblpPr w:leftFromText="180" w:rightFromText="180" w:vertAnchor="page" w:horzAnchor="margin" w:tblpY="2311"/>
        <w:tblW w:w="96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1243"/>
        <w:gridCol w:w="1292"/>
        <w:gridCol w:w="1138"/>
        <w:gridCol w:w="1327"/>
        <w:gridCol w:w="1138"/>
        <w:gridCol w:w="1138"/>
        <w:gridCol w:w="1138"/>
      </w:tblGrid>
      <w:tr w:rsidR="009675D3" w:rsidRPr="00ED18F2" w:rsidTr="003D7EA6">
        <w:trPr>
          <w:trHeight w:val="726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75D3" w:rsidRPr="00ED18F2" w:rsidRDefault="009675D3" w:rsidP="003D7EA6">
            <w:pPr>
              <w:jc w:val="center"/>
              <w:rPr>
                <w:rFonts w:cs="Calibri"/>
                <w:b/>
                <w:bCs/>
              </w:rPr>
            </w:pPr>
            <w:r w:rsidRPr="00ED18F2">
              <w:rPr>
                <w:rFonts w:cs="Calibri"/>
                <w:b/>
                <w:bCs/>
              </w:rPr>
              <w:t>Pokazatelj</w:t>
            </w:r>
          </w:p>
          <w:p w:rsidR="009675D3" w:rsidRPr="00ED18F2" w:rsidRDefault="009675D3" w:rsidP="003D7EA6">
            <w:pPr>
              <w:jc w:val="center"/>
              <w:rPr>
                <w:rFonts w:cs="Calibri"/>
                <w:b/>
                <w:bCs/>
              </w:rPr>
            </w:pPr>
            <w:r w:rsidRPr="00ED18F2">
              <w:rPr>
                <w:rFonts w:cs="Calibri"/>
                <w:b/>
                <w:bCs/>
              </w:rPr>
              <w:t>rezultata</w:t>
            </w:r>
          </w:p>
          <w:p w:rsidR="009675D3" w:rsidRPr="00ED18F2" w:rsidRDefault="009675D3" w:rsidP="003D7EA6">
            <w:pPr>
              <w:rPr>
                <w:rFonts w:cs="Calibri"/>
                <w:b/>
                <w:bCs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5D3" w:rsidRPr="00ED18F2" w:rsidRDefault="009675D3" w:rsidP="003D7EA6">
            <w:pPr>
              <w:jc w:val="center"/>
              <w:rPr>
                <w:rFonts w:cs="Calibri"/>
                <w:b/>
                <w:bCs/>
              </w:rPr>
            </w:pPr>
            <w:r w:rsidRPr="00ED18F2">
              <w:rPr>
                <w:rFonts w:cs="Calibri"/>
                <w:b/>
                <w:bCs/>
              </w:rPr>
              <w:t>Definicija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5D3" w:rsidRPr="00ED18F2" w:rsidRDefault="009675D3" w:rsidP="003D7EA6">
            <w:pPr>
              <w:jc w:val="center"/>
              <w:rPr>
                <w:rFonts w:cs="Calibri"/>
                <w:b/>
                <w:bCs/>
              </w:rPr>
            </w:pPr>
            <w:r w:rsidRPr="00ED18F2">
              <w:rPr>
                <w:rFonts w:cs="Calibri"/>
                <w:b/>
                <w:bCs/>
              </w:rPr>
              <w:t>Jedinica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5D3" w:rsidRPr="00ED18F2" w:rsidRDefault="009675D3" w:rsidP="003D7EA6">
            <w:pPr>
              <w:jc w:val="center"/>
              <w:rPr>
                <w:rFonts w:cs="Calibri"/>
                <w:b/>
                <w:bCs/>
              </w:rPr>
            </w:pPr>
            <w:r w:rsidRPr="00ED18F2">
              <w:rPr>
                <w:rFonts w:cs="Calibri"/>
                <w:b/>
                <w:bCs/>
              </w:rPr>
              <w:t>Polazna vrijednost</w:t>
            </w:r>
          </w:p>
          <w:p w:rsidR="009675D3" w:rsidRPr="00ED18F2" w:rsidRDefault="009675D3" w:rsidP="0099302A">
            <w:pPr>
              <w:jc w:val="center"/>
              <w:rPr>
                <w:rFonts w:cs="Calibri"/>
                <w:b/>
                <w:bCs/>
              </w:rPr>
            </w:pPr>
            <w:r w:rsidRPr="00ED18F2">
              <w:rPr>
                <w:rFonts w:cs="Calibri"/>
                <w:b/>
                <w:bCs/>
              </w:rPr>
              <w:t>202</w:t>
            </w:r>
            <w:r w:rsidR="0099302A">
              <w:rPr>
                <w:rFonts w:cs="Calibri"/>
                <w:b/>
                <w:bCs/>
              </w:rPr>
              <w:t>4</w:t>
            </w:r>
            <w:r w:rsidRPr="00ED18F2">
              <w:rPr>
                <w:rFonts w:cs="Calibri"/>
                <w:b/>
                <w:bCs/>
              </w:rPr>
              <w:t>.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5D3" w:rsidRPr="00ED18F2" w:rsidRDefault="009675D3" w:rsidP="003D7EA6">
            <w:pPr>
              <w:jc w:val="center"/>
              <w:rPr>
                <w:rFonts w:cs="Calibri"/>
                <w:b/>
                <w:bCs/>
              </w:rPr>
            </w:pPr>
            <w:r w:rsidRPr="00ED18F2">
              <w:rPr>
                <w:rFonts w:cs="Calibri"/>
                <w:b/>
                <w:bCs/>
              </w:rPr>
              <w:t>Izvor podataka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5D3" w:rsidRPr="00ED18F2" w:rsidRDefault="009675D3" w:rsidP="0099302A">
            <w:pPr>
              <w:jc w:val="center"/>
              <w:rPr>
                <w:rFonts w:cs="Calibri"/>
                <w:b/>
                <w:bCs/>
              </w:rPr>
            </w:pPr>
            <w:r w:rsidRPr="00ED18F2">
              <w:rPr>
                <w:rFonts w:cs="Calibri"/>
                <w:b/>
                <w:bCs/>
              </w:rPr>
              <w:t>Ciljana vrijednost 202</w:t>
            </w:r>
            <w:r w:rsidR="0099302A">
              <w:rPr>
                <w:rFonts w:cs="Calibri"/>
                <w:b/>
                <w:bCs/>
              </w:rPr>
              <w:t>5</w:t>
            </w:r>
            <w:r w:rsidRPr="00ED18F2">
              <w:rPr>
                <w:rFonts w:cs="Calibri"/>
                <w:b/>
                <w:bCs/>
              </w:rPr>
              <w:t>.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5D3" w:rsidRPr="00ED18F2" w:rsidRDefault="009675D3" w:rsidP="003D7EA6">
            <w:pPr>
              <w:jc w:val="center"/>
              <w:rPr>
                <w:rFonts w:cs="Calibri"/>
                <w:b/>
                <w:bCs/>
              </w:rPr>
            </w:pPr>
            <w:r w:rsidRPr="00ED18F2">
              <w:rPr>
                <w:rFonts w:cs="Calibri"/>
                <w:b/>
                <w:bCs/>
              </w:rPr>
              <w:t>C</w:t>
            </w:r>
            <w:r w:rsidR="0099302A">
              <w:rPr>
                <w:rFonts w:cs="Calibri"/>
                <w:b/>
                <w:bCs/>
              </w:rPr>
              <w:t>iljana vrijednost 2026</w:t>
            </w:r>
            <w:r w:rsidRPr="00ED18F2">
              <w:rPr>
                <w:rFonts w:cs="Calibri"/>
                <w:b/>
                <w:bCs/>
              </w:rPr>
              <w:t>.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5D3" w:rsidRPr="00ED18F2" w:rsidRDefault="009675D3" w:rsidP="003D7EA6">
            <w:pPr>
              <w:jc w:val="center"/>
              <w:rPr>
                <w:rFonts w:cs="Calibri"/>
                <w:b/>
                <w:bCs/>
              </w:rPr>
            </w:pPr>
            <w:r w:rsidRPr="00ED18F2">
              <w:rPr>
                <w:rFonts w:cs="Calibri"/>
                <w:b/>
                <w:bCs/>
              </w:rPr>
              <w:t>Ciljana vrijednost 202</w:t>
            </w:r>
            <w:r w:rsidR="0099302A">
              <w:rPr>
                <w:rFonts w:cs="Calibri"/>
                <w:b/>
                <w:bCs/>
              </w:rPr>
              <w:t>7</w:t>
            </w:r>
            <w:r w:rsidRPr="00ED18F2">
              <w:rPr>
                <w:rFonts w:cs="Calibri"/>
                <w:b/>
                <w:bCs/>
              </w:rPr>
              <w:t>.</w:t>
            </w:r>
          </w:p>
        </w:tc>
      </w:tr>
      <w:tr w:rsidR="009675D3" w:rsidRPr="00ED18F2" w:rsidTr="003D7EA6">
        <w:trPr>
          <w:trHeight w:val="532"/>
        </w:trPr>
        <w:tc>
          <w:tcPr>
            <w:tcW w:w="12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5D3" w:rsidRPr="00ED18F2" w:rsidRDefault="009675D3" w:rsidP="003D7EA6">
            <w:pPr>
              <w:jc w:val="center"/>
              <w:rPr>
                <w:rFonts w:cs="Calibri"/>
              </w:rPr>
            </w:pPr>
          </w:p>
          <w:p w:rsidR="009675D3" w:rsidRPr="00ED18F2" w:rsidRDefault="009675D3" w:rsidP="003D7EA6">
            <w:pPr>
              <w:jc w:val="center"/>
              <w:rPr>
                <w:rFonts w:cs="Calibri"/>
              </w:rPr>
            </w:pPr>
            <w:r w:rsidRPr="00ED18F2">
              <w:rPr>
                <w:rFonts w:cs="Calibri"/>
              </w:rPr>
              <w:t xml:space="preserve">Porast indeksa </w:t>
            </w:r>
          </w:p>
          <w:p w:rsidR="009675D3" w:rsidRPr="00ED18F2" w:rsidRDefault="009675D3" w:rsidP="003D7EA6">
            <w:pPr>
              <w:jc w:val="center"/>
              <w:rPr>
                <w:rFonts w:cs="Calibri"/>
              </w:rPr>
            </w:pPr>
            <w:r w:rsidRPr="00ED18F2">
              <w:rPr>
                <w:rFonts w:cs="Calibri"/>
              </w:rPr>
              <w:t>uspješnosti objave radova</w:t>
            </w:r>
          </w:p>
          <w:p w:rsidR="009675D3" w:rsidRPr="00ED18F2" w:rsidRDefault="009675D3" w:rsidP="003D7EA6">
            <w:pPr>
              <w:jc w:val="center"/>
              <w:rPr>
                <w:rFonts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5D3" w:rsidRPr="00ED18F2" w:rsidRDefault="009675D3" w:rsidP="003D7EA6">
            <w:pPr>
              <w:jc w:val="center"/>
              <w:rPr>
                <w:rFonts w:cs="Calibri"/>
              </w:rPr>
            </w:pPr>
            <w:r w:rsidRPr="00ED18F2">
              <w:rPr>
                <w:rFonts w:cs="Calibri"/>
              </w:rPr>
              <w:t>Podizanje indeksa</w:t>
            </w:r>
          </w:p>
          <w:p w:rsidR="009675D3" w:rsidRPr="00ED18F2" w:rsidRDefault="009675D3" w:rsidP="003D7EA6">
            <w:pPr>
              <w:jc w:val="center"/>
              <w:rPr>
                <w:rFonts w:cs="Calibri"/>
              </w:rPr>
            </w:pPr>
            <w:r w:rsidRPr="00ED18F2">
              <w:rPr>
                <w:rFonts w:cs="Calibri"/>
              </w:rPr>
              <w:t xml:space="preserve">uspješnosti </w:t>
            </w:r>
          </w:p>
          <w:p w:rsidR="009675D3" w:rsidRPr="00ED18F2" w:rsidRDefault="009675D3" w:rsidP="003D7EA6">
            <w:pPr>
              <w:jc w:val="center"/>
              <w:rPr>
                <w:rFonts w:cs="Calibri"/>
              </w:rPr>
            </w:pPr>
            <w:r w:rsidRPr="00ED18F2">
              <w:rPr>
                <w:rFonts w:cs="Calibri"/>
              </w:rPr>
              <w:t>objave radova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5D3" w:rsidRPr="00ED18F2" w:rsidRDefault="009675D3" w:rsidP="003D7EA6">
            <w:pPr>
              <w:jc w:val="center"/>
              <w:rPr>
                <w:rFonts w:cs="Calibri"/>
              </w:rPr>
            </w:pPr>
            <w:r w:rsidRPr="00ED18F2">
              <w:rPr>
                <w:rFonts w:cs="Calibri"/>
              </w:rPr>
              <w:t>Broj objava ili bodovi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5D3" w:rsidRPr="00ED18F2" w:rsidRDefault="0099302A" w:rsidP="0099302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715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5D3" w:rsidRPr="00ED18F2" w:rsidRDefault="005868C5" w:rsidP="003D7EA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Web </w:t>
            </w:r>
            <w:proofErr w:type="spellStart"/>
            <w:r>
              <w:rPr>
                <w:rFonts w:cs="Calibri"/>
              </w:rPr>
              <w:t>of</w:t>
            </w:r>
            <w:proofErr w:type="spellEnd"/>
            <w:r>
              <w:rPr>
                <w:rFonts w:cs="Calibri"/>
              </w:rPr>
              <w:t xml:space="preserve"> Science Core </w:t>
            </w:r>
            <w:proofErr w:type="spellStart"/>
            <w:r>
              <w:rPr>
                <w:rFonts w:cs="Calibri"/>
              </w:rPr>
              <w:t>Collection</w:t>
            </w:r>
            <w:proofErr w:type="spellEnd"/>
            <w:r>
              <w:rPr>
                <w:rFonts w:cs="Calibri"/>
              </w:rPr>
              <w:t>: SCI-EXP / SSCI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5D3" w:rsidRPr="00ED18F2" w:rsidRDefault="005868C5" w:rsidP="0099302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99302A">
              <w:rPr>
                <w:rFonts w:cs="Calibri"/>
              </w:rPr>
              <w:t>5</w:t>
            </w:r>
            <w:r>
              <w:rPr>
                <w:rFonts w:cs="Calibri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5D3" w:rsidRPr="00ED18F2" w:rsidRDefault="005868C5" w:rsidP="003D7EA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760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5D3" w:rsidRPr="00ED18F2" w:rsidRDefault="005868C5" w:rsidP="003D7EA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800</w:t>
            </w:r>
          </w:p>
        </w:tc>
      </w:tr>
      <w:tr w:rsidR="009675D3" w:rsidRPr="00ED18F2" w:rsidTr="003D7EA6">
        <w:trPr>
          <w:trHeight w:val="110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5D3" w:rsidRPr="00ED18F2" w:rsidRDefault="009675D3" w:rsidP="003D7EA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5D3" w:rsidRPr="00ED18F2" w:rsidRDefault="009675D3" w:rsidP="003D7EA6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5D3" w:rsidRPr="00ED18F2" w:rsidRDefault="009675D3" w:rsidP="003D7EA6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5D3" w:rsidRPr="00ED18F2" w:rsidRDefault="009675D3" w:rsidP="003D7EA6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5D3" w:rsidRPr="00ED18F2" w:rsidRDefault="009675D3" w:rsidP="003D7EA6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5D3" w:rsidRPr="00ED18F2" w:rsidRDefault="009675D3" w:rsidP="003D7EA6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5D3" w:rsidRPr="00ED18F2" w:rsidRDefault="009675D3" w:rsidP="003D7EA6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5D3" w:rsidRPr="00ED18F2" w:rsidRDefault="009675D3" w:rsidP="003D7EA6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C04B3C" w:rsidRDefault="00C04B3C" w:rsidP="00097C82">
      <w:pPr>
        <w:spacing w:after="176" w:line="252" w:lineRule="auto"/>
        <w:ind w:right="4"/>
        <w:jc w:val="both"/>
        <w:rPr>
          <w:b/>
          <w:i/>
          <w:sz w:val="24"/>
          <w:szCs w:val="24"/>
        </w:rPr>
      </w:pPr>
    </w:p>
    <w:p w:rsidR="00097C82" w:rsidRPr="00F72A3D" w:rsidRDefault="00097C82" w:rsidP="00097C82">
      <w:pPr>
        <w:spacing w:after="176" w:line="252" w:lineRule="auto"/>
        <w:ind w:right="4"/>
        <w:jc w:val="both"/>
        <w:rPr>
          <w:b/>
          <w:i/>
          <w:sz w:val="24"/>
          <w:szCs w:val="24"/>
        </w:rPr>
      </w:pPr>
      <w:r w:rsidRPr="00F72A3D">
        <w:rPr>
          <w:b/>
          <w:i/>
          <w:sz w:val="24"/>
          <w:szCs w:val="24"/>
        </w:rPr>
        <w:t>A679078 EU projekti Sveučilišta u Zagrebu Medicinski fakultet (iz EV prihoda)</w:t>
      </w:r>
    </w:p>
    <w:p w:rsidR="00097C82" w:rsidRPr="00F72A3D" w:rsidRDefault="00097C82" w:rsidP="00097C82">
      <w:pPr>
        <w:spacing w:after="176" w:line="252" w:lineRule="auto"/>
        <w:ind w:left="326" w:right="4"/>
        <w:jc w:val="both"/>
        <w:rPr>
          <w:sz w:val="24"/>
          <w:szCs w:val="24"/>
        </w:rPr>
      </w:pPr>
      <w:r w:rsidRPr="00F72A3D">
        <w:rPr>
          <w:sz w:val="24"/>
          <w:szCs w:val="24"/>
        </w:rPr>
        <w:t>Zakonske i druge pravne osnove</w:t>
      </w:r>
    </w:p>
    <w:p w:rsidR="00097C82" w:rsidRDefault="00097C82" w:rsidP="00097C82">
      <w:pPr>
        <w:spacing w:after="176" w:line="252" w:lineRule="auto"/>
        <w:ind w:left="326"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A0FB9">
        <w:rPr>
          <w:sz w:val="24"/>
          <w:szCs w:val="24"/>
        </w:rPr>
        <w:t>Zakon o znanstvenoj djelatnosti i visokom obrazovanju</w:t>
      </w:r>
    </w:p>
    <w:p w:rsidR="00097C82" w:rsidRDefault="00097C82" w:rsidP="00097C82">
      <w:pPr>
        <w:spacing w:after="176" w:line="252" w:lineRule="auto"/>
        <w:ind w:left="326" w:right="4"/>
        <w:jc w:val="both"/>
        <w:rPr>
          <w:sz w:val="24"/>
          <w:szCs w:val="24"/>
        </w:rPr>
      </w:pPr>
      <w:r>
        <w:rPr>
          <w:sz w:val="24"/>
          <w:szCs w:val="24"/>
        </w:rPr>
        <w:t>- Ugovori o financiranju projekata</w:t>
      </w:r>
    </w:p>
    <w:p w:rsidR="00097C82" w:rsidRDefault="00097C82" w:rsidP="00097C82">
      <w:pPr>
        <w:spacing w:after="176" w:line="252" w:lineRule="auto"/>
        <w:ind w:left="326" w:right="4"/>
        <w:jc w:val="both"/>
        <w:rPr>
          <w:sz w:val="24"/>
          <w:szCs w:val="24"/>
        </w:rPr>
      </w:pPr>
      <w:r>
        <w:rPr>
          <w:sz w:val="24"/>
          <w:szCs w:val="24"/>
        </w:rPr>
        <w:t>Aktivnosti se provode iz slijedećih izvora financiranja:</w:t>
      </w:r>
    </w:p>
    <w:p w:rsidR="00097C82" w:rsidRPr="00ED0611" w:rsidRDefault="00097C82" w:rsidP="00E5625A">
      <w:pPr>
        <w:pStyle w:val="Odlomakpopisa"/>
        <w:numPr>
          <w:ilvl w:val="0"/>
          <w:numId w:val="42"/>
        </w:numPr>
        <w:spacing w:after="176" w:line="252" w:lineRule="auto"/>
        <w:ind w:right="4"/>
        <w:jc w:val="both"/>
        <w:rPr>
          <w:sz w:val="24"/>
          <w:szCs w:val="24"/>
        </w:rPr>
      </w:pPr>
      <w:r w:rsidRPr="00ED0611">
        <w:rPr>
          <w:sz w:val="24"/>
          <w:szCs w:val="24"/>
        </w:rPr>
        <w:t xml:space="preserve">51 Pomoći EU – projekti su </w:t>
      </w:r>
      <w:r w:rsidR="0099302A">
        <w:rPr>
          <w:sz w:val="24"/>
          <w:szCs w:val="24"/>
        </w:rPr>
        <w:t xml:space="preserve">A4L_BRIDGE, EATRIS </w:t>
      </w:r>
      <w:proofErr w:type="spellStart"/>
      <w:r w:rsidR="0099302A">
        <w:rPr>
          <w:sz w:val="24"/>
          <w:szCs w:val="24"/>
        </w:rPr>
        <w:t>Connect</w:t>
      </w:r>
      <w:proofErr w:type="spellEnd"/>
      <w:r w:rsidR="0099302A">
        <w:rPr>
          <w:sz w:val="24"/>
          <w:szCs w:val="24"/>
        </w:rPr>
        <w:t xml:space="preserve">, ELIXIR </w:t>
      </w:r>
      <w:proofErr w:type="spellStart"/>
      <w:r w:rsidR="0099302A">
        <w:rPr>
          <w:sz w:val="24"/>
          <w:szCs w:val="24"/>
        </w:rPr>
        <w:t>Steers</w:t>
      </w:r>
      <w:proofErr w:type="spellEnd"/>
      <w:r w:rsidR="0099302A">
        <w:rPr>
          <w:sz w:val="24"/>
          <w:szCs w:val="24"/>
        </w:rPr>
        <w:t xml:space="preserve">, HE P4OS, </w:t>
      </w:r>
      <w:proofErr w:type="spellStart"/>
      <w:r w:rsidRPr="00ED0611">
        <w:rPr>
          <w:sz w:val="24"/>
          <w:szCs w:val="24"/>
        </w:rPr>
        <w:t>LiverScreen</w:t>
      </w:r>
      <w:proofErr w:type="spellEnd"/>
      <w:r w:rsidRPr="00ED0611">
        <w:rPr>
          <w:sz w:val="24"/>
          <w:szCs w:val="24"/>
        </w:rPr>
        <w:t xml:space="preserve">, </w:t>
      </w:r>
      <w:proofErr w:type="spellStart"/>
      <w:r w:rsidR="009B6B4B">
        <w:rPr>
          <w:sz w:val="24"/>
          <w:szCs w:val="24"/>
        </w:rPr>
        <w:t>Liveraim</w:t>
      </w:r>
      <w:proofErr w:type="spellEnd"/>
      <w:r w:rsidR="009B6B4B">
        <w:rPr>
          <w:sz w:val="24"/>
          <w:szCs w:val="24"/>
        </w:rPr>
        <w:t xml:space="preserve">, </w:t>
      </w:r>
      <w:proofErr w:type="spellStart"/>
      <w:r w:rsidR="005F2A49" w:rsidRPr="00ED0611">
        <w:rPr>
          <w:sz w:val="24"/>
          <w:szCs w:val="24"/>
        </w:rPr>
        <w:t>Cost</w:t>
      </w:r>
      <w:proofErr w:type="spellEnd"/>
      <w:r w:rsidR="005F2A49" w:rsidRPr="00ED0611">
        <w:rPr>
          <w:sz w:val="24"/>
          <w:szCs w:val="24"/>
        </w:rPr>
        <w:t xml:space="preserve"> </w:t>
      </w:r>
      <w:proofErr w:type="spellStart"/>
      <w:r w:rsidR="005F2A49" w:rsidRPr="00ED0611">
        <w:rPr>
          <w:sz w:val="24"/>
          <w:szCs w:val="24"/>
        </w:rPr>
        <w:t>Harmonisation</w:t>
      </w:r>
      <w:proofErr w:type="spellEnd"/>
      <w:r w:rsidR="005F2A49" w:rsidRPr="00ED0611">
        <w:rPr>
          <w:sz w:val="24"/>
          <w:szCs w:val="24"/>
        </w:rPr>
        <w:t>,</w:t>
      </w:r>
      <w:r w:rsidR="00ED0611" w:rsidRPr="00ED0611">
        <w:rPr>
          <w:sz w:val="24"/>
          <w:szCs w:val="24"/>
        </w:rPr>
        <w:t xml:space="preserve"> </w:t>
      </w:r>
      <w:r w:rsidR="009B6B4B">
        <w:rPr>
          <w:sz w:val="24"/>
          <w:szCs w:val="24"/>
        </w:rPr>
        <w:t xml:space="preserve">Europe Radioval, </w:t>
      </w:r>
      <w:r w:rsidR="005F2A49" w:rsidRPr="00ED0611">
        <w:rPr>
          <w:sz w:val="24"/>
          <w:szCs w:val="24"/>
        </w:rPr>
        <w:t>CP4T, NEURODATA,</w:t>
      </w:r>
      <w:r w:rsidR="00ED0611" w:rsidRPr="00ED0611">
        <w:rPr>
          <w:sz w:val="24"/>
          <w:szCs w:val="24"/>
        </w:rPr>
        <w:t xml:space="preserve"> </w:t>
      </w:r>
      <w:proofErr w:type="spellStart"/>
      <w:r w:rsidR="005F2A49" w:rsidRPr="00ED0611">
        <w:rPr>
          <w:sz w:val="24"/>
          <w:szCs w:val="24"/>
        </w:rPr>
        <w:t>TranssMed</w:t>
      </w:r>
      <w:proofErr w:type="spellEnd"/>
      <w:r w:rsidR="009B6B4B">
        <w:rPr>
          <w:sz w:val="24"/>
          <w:szCs w:val="24"/>
        </w:rPr>
        <w:t xml:space="preserve">, </w:t>
      </w:r>
      <w:proofErr w:type="spellStart"/>
      <w:r w:rsidR="009B6B4B">
        <w:rPr>
          <w:sz w:val="24"/>
          <w:szCs w:val="24"/>
        </w:rPr>
        <w:t>PlanEd</w:t>
      </w:r>
      <w:proofErr w:type="spellEnd"/>
      <w:r w:rsidR="005F2A49" w:rsidRPr="00ED0611">
        <w:rPr>
          <w:sz w:val="24"/>
          <w:szCs w:val="24"/>
        </w:rPr>
        <w:t xml:space="preserve"> </w:t>
      </w:r>
    </w:p>
    <w:p w:rsidR="00097C82" w:rsidRDefault="00097C82" w:rsidP="00097C82">
      <w:pPr>
        <w:pStyle w:val="Odlomakpopisa"/>
        <w:numPr>
          <w:ilvl w:val="0"/>
          <w:numId w:val="42"/>
        </w:numPr>
        <w:spacing w:after="176" w:line="252" w:lineRule="auto"/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52 Ostale pomoći – projekti su </w:t>
      </w:r>
      <w:proofErr w:type="spellStart"/>
      <w:r w:rsidR="00ED0611">
        <w:rPr>
          <w:sz w:val="24"/>
          <w:szCs w:val="24"/>
        </w:rPr>
        <w:t>iLED</w:t>
      </w:r>
      <w:proofErr w:type="spellEnd"/>
    </w:p>
    <w:p w:rsidR="0039584D" w:rsidRPr="0039584D" w:rsidRDefault="009B6B4B" w:rsidP="0039584D">
      <w:pPr>
        <w:pStyle w:val="Odlomakpopisa"/>
        <w:numPr>
          <w:ilvl w:val="0"/>
          <w:numId w:val="42"/>
        </w:numPr>
        <w:spacing w:after="176" w:line="252" w:lineRule="auto"/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>581</w:t>
      </w:r>
      <w:r w:rsidR="0039584D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Skinbiotic</w:t>
      </w:r>
      <w:proofErr w:type="spellEnd"/>
      <w:r>
        <w:rPr>
          <w:sz w:val="24"/>
          <w:szCs w:val="24"/>
        </w:rPr>
        <w:t xml:space="preserve">, Brzi test za </w:t>
      </w:r>
      <w:proofErr w:type="spellStart"/>
      <w:r>
        <w:rPr>
          <w:sz w:val="24"/>
          <w:szCs w:val="24"/>
        </w:rPr>
        <w:t>ishemijski</w:t>
      </w:r>
      <w:proofErr w:type="spellEnd"/>
      <w:r>
        <w:rPr>
          <w:sz w:val="24"/>
          <w:szCs w:val="24"/>
        </w:rPr>
        <w:t xml:space="preserve"> moždani udar, </w:t>
      </w:r>
      <w:proofErr w:type="spellStart"/>
      <w:r>
        <w:rPr>
          <w:sz w:val="24"/>
          <w:szCs w:val="24"/>
        </w:rPr>
        <w:t>Chipart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4BrainFlames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Brainclock</w:t>
      </w:r>
      <w:proofErr w:type="spellEnd"/>
    </w:p>
    <w:p w:rsidR="00F72A3D" w:rsidRDefault="00F72A3D" w:rsidP="00F72A3D">
      <w:pPr>
        <w:spacing w:after="176" w:line="252" w:lineRule="auto"/>
        <w:ind w:left="326"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 </w:t>
      </w:r>
      <w:r w:rsidRPr="00F72A3D">
        <w:rPr>
          <w:sz w:val="24"/>
          <w:szCs w:val="24"/>
        </w:rPr>
        <w:t>prihoda</w:t>
      </w:r>
      <w:r>
        <w:rPr>
          <w:sz w:val="24"/>
          <w:szCs w:val="24"/>
        </w:rPr>
        <w:t xml:space="preserve"> ostvarenih od EU projek</w:t>
      </w:r>
      <w:r w:rsidR="002E0413">
        <w:rPr>
          <w:sz w:val="24"/>
          <w:szCs w:val="24"/>
        </w:rPr>
        <w:t>a</w:t>
      </w:r>
      <w:r>
        <w:rPr>
          <w:sz w:val="24"/>
          <w:szCs w:val="24"/>
        </w:rPr>
        <w:t>ta</w:t>
      </w:r>
      <w:r w:rsidRPr="00F72A3D">
        <w:rPr>
          <w:sz w:val="24"/>
          <w:szCs w:val="24"/>
        </w:rPr>
        <w:t xml:space="preserve"> financiraju se rashodi za zaposlene, materijalni troškovi poslovanja, nabava dugotrajne imovine </w:t>
      </w:r>
      <w:r>
        <w:rPr>
          <w:sz w:val="24"/>
          <w:szCs w:val="24"/>
        </w:rPr>
        <w:t>i ulaganje u dugotrajnu imovinu</w:t>
      </w:r>
      <w:r w:rsidR="002E0413">
        <w:rPr>
          <w:sz w:val="24"/>
          <w:szCs w:val="24"/>
        </w:rPr>
        <w:t>, potrebni</w:t>
      </w:r>
      <w:r>
        <w:rPr>
          <w:sz w:val="24"/>
          <w:szCs w:val="24"/>
        </w:rPr>
        <w:t xml:space="preserve"> za provođenje projekata.</w:t>
      </w:r>
    </w:p>
    <w:p w:rsidR="00ED32E7" w:rsidRDefault="00ED32E7" w:rsidP="00ED32E7">
      <w:pPr>
        <w:spacing w:after="176" w:line="252" w:lineRule="auto"/>
        <w:ind w:right="4"/>
        <w:jc w:val="both"/>
        <w:rPr>
          <w:sz w:val="24"/>
          <w:szCs w:val="24"/>
        </w:rPr>
      </w:pPr>
    </w:p>
    <w:p w:rsidR="00ED32E7" w:rsidRPr="00ED32E7" w:rsidRDefault="00175C47" w:rsidP="00ED32E7">
      <w:pPr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Zagreb, 16</w:t>
      </w:r>
      <w:r w:rsidR="00ED32E7" w:rsidRPr="00ED32E7">
        <w:rPr>
          <w:rFonts w:cs="Calibri"/>
          <w:bCs/>
          <w:sz w:val="24"/>
          <w:szCs w:val="24"/>
        </w:rPr>
        <w:t xml:space="preserve">. </w:t>
      </w:r>
      <w:r>
        <w:rPr>
          <w:rFonts w:cs="Calibri"/>
          <w:bCs/>
          <w:sz w:val="24"/>
          <w:szCs w:val="24"/>
        </w:rPr>
        <w:t>prosinac</w:t>
      </w:r>
      <w:bookmarkStart w:id="0" w:name="_GoBack"/>
      <w:bookmarkEnd w:id="0"/>
      <w:r w:rsidR="00ED32E7" w:rsidRPr="00ED32E7">
        <w:rPr>
          <w:rFonts w:cs="Calibri"/>
          <w:bCs/>
          <w:sz w:val="24"/>
          <w:szCs w:val="24"/>
        </w:rPr>
        <w:t xml:space="preserve"> 202</w:t>
      </w:r>
      <w:r w:rsidR="009B6B4B">
        <w:rPr>
          <w:rFonts w:cs="Calibri"/>
          <w:bCs/>
          <w:sz w:val="24"/>
          <w:szCs w:val="24"/>
        </w:rPr>
        <w:t>4</w:t>
      </w:r>
      <w:r w:rsidR="00ED32E7" w:rsidRPr="00ED32E7">
        <w:rPr>
          <w:rFonts w:cs="Calibri"/>
          <w:bCs/>
          <w:sz w:val="24"/>
          <w:szCs w:val="24"/>
        </w:rPr>
        <w:t>.</w:t>
      </w:r>
    </w:p>
    <w:p w:rsidR="00ED18F2" w:rsidRDefault="00ED18F2" w:rsidP="00AF2849"/>
    <w:p w:rsidR="0044455A" w:rsidRDefault="0044455A" w:rsidP="00AF2849"/>
    <w:p w:rsidR="0044455A" w:rsidRDefault="0044455A" w:rsidP="00AF2849">
      <w:r>
        <w:t>Dekan:</w:t>
      </w:r>
    </w:p>
    <w:p w:rsidR="0044455A" w:rsidRDefault="0044455A" w:rsidP="00AF2849"/>
    <w:p w:rsidR="0044455A" w:rsidRDefault="0044455A" w:rsidP="00AF2849">
      <w:r>
        <w:t>__________________________________</w:t>
      </w:r>
    </w:p>
    <w:p w:rsidR="0044455A" w:rsidRDefault="0044455A" w:rsidP="00AF2849">
      <w:r>
        <w:t>Prof.dr.sc. Slavko Orešković</w:t>
      </w:r>
    </w:p>
    <w:sectPr w:rsidR="0044455A" w:rsidSect="004721C3">
      <w:headerReference w:type="even" r:id="rId8"/>
      <w:footerReference w:type="default" r:id="rId9"/>
      <w:headerReference w:type="first" r:id="rId10"/>
      <w:footerReference w:type="first" r:id="rId11"/>
      <w:pgSz w:w="11900" w:h="16840"/>
      <w:pgMar w:top="737" w:right="851" w:bottom="737" w:left="851" w:header="709" w:footer="14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14F" w:rsidRDefault="00AE314F" w:rsidP="00200D55">
      <w:r>
        <w:separator/>
      </w:r>
    </w:p>
  </w:endnote>
  <w:endnote w:type="continuationSeparator" w:id="0">
    <w:p w:rsidR="00AE314F" w:rsidRDefault="00AE314F" w:rsidP="0020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 Light Italic">
    <w:altName w:val="Corbel"/>
    <w:charset w:val="00"/>
    <w:family w:val="auto"/>
    <w:pitch w:val="variable"/>
    <w:sig w:usb0="00000001" w:usb1="4000205B" w:usb2="00000028" w:usb3="00000000" w:csb0="0000019F" w:csb1="00000000"/>
  </w:font>
  <w:font w:name="Open Sans Bold">
    <w:altName w:val="Segoe UI Semibold"/>
    <w:charset w:val="00"/>
    <w:family w:val="auto"/>
    <w:pitch w:val="variable"/>
    <w:sig w:usb0="00000001" w:usb1="4000205B" w:usb2="00000028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  <w:sz w:val="28"/>
        <w:szCs w:val="28"/>
      </w:rPr>
      <w:id w:val="732513911"/>
      <w:docPartObj>
        <w:docPartGallery w:val="Page Numbers (Bottom of Page)"/>
        <w:docPartUnique/>
      </w:docPartObj>
    </w:sdtPr>
    <w:sdtEndPr/>
    <w:sdtContent>
      <w:p w:rsidR="004721C3" w:rsidRPr="004721C3" w:rsidRDefault="004721C3">
        <w:pPr>
          <w:pStyle w:val="Podnoje"/>
          <w:jc w:val="right"/>
          <w:rPr>
            <w:color w:val="auto"/>
            <w:sz w:val="28"/>
            <w:szCs w:val="28"/>
          </w:rPr>
        </w:pPr>
        <w:r w:rsidRPr="004721C3">
          <w:rPr>
            <w:color w:val="auto"/>
            <w:sz w:val="28"/>
            <w:szCs w:val="28"/>
          </w:rPr>
          <w:fldChar w:fldCharType="begin"/>
        </w:r>
        <w:r w:rsidRPr="004721C3">
          <w:rPr>
            <w:color w:val="auto"/>
            <w:sz w:val="28"/>
            <w:szCs w:val="28"/>
          </w:rPr>
          <w:instrText>PAGE   \* MERGEFORMAT</w:instrText>
        </w:r>
        <w:r w:rsidRPr="004721C3">
          <w:rPr>
            <w:color w:val="auto"/>
            <w:sz w:val="28"/>
            <w:szCs w:val="28"/>
          </w:rPr>
          <w:fldChar w:fldCharType="separate"/>
        </w:r>
        <w:r w:rsidR="00175C47" w:rsidRPr="00175C47">
          <w:rPr>
            <w:noProof/>
            <w:color w:val="auto"/>
            <w:sz w:val="28"/>
            <w:szCs w:val="28"/>
            <w:lang w:val="hr-HR"/>
          </w:rPr>
          <w:t>7</w:t>
        </w:r>
        <w:r w:rsidRPr="004721C3">
          <w:rPr>
            <w:color w:val="auto"/>
            <w:sz w:val="28"/>
            <w:szCs w:val="28"/>
          </w:rPr>
          <w:fldChar w:fldCharType="end"/>
        </w:r>
      </w:p>
    </w:sdtContent>
  </w:sdt>
  <w:p w:rsidR="004928A4" w:rsidRDefault="004928A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8A4" w:rsidRDefault="004928A4" w:rsidP="0082617D">
    <w:pPr>
      <w:pStyle w:val="Podnoje"/>
      <w:tabs>
        <w:tab w:val="clear" w:pos="4320"/>
        <w:tab w:val="clear" w:pos="8640"/>
        <w:tab w:val="left" w:pos="5850"/>
      </w:tabs>
      <w:rPr>
        <w:noProof/>
        <w:sz w:val="18"/>
        <w:szCs w:val="18"/>
        <w:lang w:val="hr-HR" w:eastAsia="hr-HR"/>
      </w:rPr>
    </w:pPr>
    <w:r>
      <w:rPr>
        <w:noProof/>
        <w:lang w:val="hr-HR" w:eastAsia="hr-HR"/>
      </w:rPr>
      <w:t xml:space="preserve"> </w:t>
    </w:r>
    <w:r>
      <w:rPr>
        <w:noProof/>
        <w:lang w:val="hr-HR" w:eastAsia="hr-H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14F" w:rsidRDefault="00AE314F" w:rsidP="00200D55">
      <w:r>
        <w:separator/>
      </w:r>
    </w:p>
  </w:footnote>
  <w:footnote w:type="continuationSeparator" w:id="0">
    <w:p w:rsidR="00AE314F" w:rsidRDefault="00AE314F" w:rsidP="00200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8A4" w:rsidRDefault="004928A4" w:rsidP="00200D55">
    <w:pPr>
      <w:pStyle w:val="Zaglavlje"/>
      <w:tabs>
        <w:tab w:val="clear" w:pos="4320"/>
        <w:tab w:val="clear" w:pos="8640"/>
        <w:tab w:val="center" w:pos="4268"/>
        <w:tab w:val="right" w:pos="8537"/>
      </w:tabs>
    </w:pPr>
    <w:r>
      <w:t>[Type text]</w:t>
    </w:r>
    <w:r>
      <w:tab/>
      <w:t>[Type text]</w:t>
    </w:r>
    <w:r>
      <w:tab/>
      <w:t>[Type text]</w:t>
    </w:r>
  </w:p>
  <w:p w:rsidR="004928A4" w:rsidRDefault="004928A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8A4" w:rsidRDefault="004928A4" w:rsidP="00B049CE">
    <w:pPr>
      <w:pStyle w:val="Zaglavlj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4FAC"/>
    <w:multiLevelType w:val="hybridMultilevel"/>
    <w:tmpl w:val="68EA3B6C"/>
    <w:lvl w:ilvl="0" w:tplc="2D1E22BA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0C699E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43234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32BC30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00428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4A84A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D67246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4BDD0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4026A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F2366"/>
    <w:multiLevelType w:val="hybridMultilevel"/>
    <w:tmpl w:val="08AE4A90"/>
    <w:lvl w:ilvl="0" w:tplc="8A567A7A">
      <w:start w:val="1"/>
      <w:numFmt w:val="bullet"/>
      <w:lvlText w:val="-"/>
      <w:lvlJc w:val="left"/>
      <w:pPr>
        <w:ind w:left="68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2" w15:restartNumberingAfterBreak="0">
    <w:nsid w:val="0BBD1074"/>
    <w:multiLevelType w:val="hybridMultilevel"/>
    <w:tmpl w:val="DC3456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853D5"/>
    <w:multiLevelType w:val="hybridMultilevel"/>
    <w:tmpl w:val="CDB4ED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041"/>
    <w:multiLevelType w:val="hybridMultilevel"/>
    <w:tmpl w:val="7AE87B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86DA0"/>
    <w:multiLevelType w:val="hybridMultilevel"/>
    <w:tmpl w:val="EDE4CB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56AD4"/>
    <w:multiLevelType w:val="hybridMultilevel"/>
    <w:tmpl w:val="E6D2C752"/>
    <w:lvl w:ilvl="0" w:tplc="79B0B77E">
      <w:start w:val="10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16C41AC5"/>
    <w:multiLevelType w:val="hybridMultilevel"/>
    <w:tmpl w:val="789A1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F038D"/>
    <w:multiLevelType w:val="hybridMultilevel"/>
    <w:tmpl w:val="EB8846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D2B28"/>
    <w:multiLevelType w:val="hybridMultilevel"/>
    <w:tmpl w:val="8E6672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1472F"/>
    <w:multiLevelType w:val="hybridMultilevel"/>
    <w:tmpl w:val="43DEFA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04E09"/>
    <w:multiLevelType w:val="hybridMultilevel"/>
    <w:tmpl w:val="833AB208"/>
    <w:lvl w:ilvl="0" w:tplc="E21A990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BCE5D75"/>
    <w:multiLevelType w:val="hybridMultilevel"/>
    <w:tmpl w:val="6714DA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F662B"/>
    <w:multiLevelType w:val="hybridMultilevel"/>
    <w:tmpl w:val="D4520B32"/>
    <w:lvl w:ilvl="0" w:tplc="953A58CA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346394"/>
    <w:multiLevelType w:val="hybridMultilevel"/>
    <w:tmpl w:val="8B5811AE"/>
    <w:lvl w:ilvl="0" w:tplc="60C24AC2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2991477B"/>
    <w:multiLevelType w:val="hybridMultilevel"/>
    <w:tmpl w:val="0862D5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F36D3"/>
    <w:multiLevelType w:val="hybridMultilevel"/>
    <w:tmpl w:val="D2E672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F4AF4"/>
    <w:multiLevelType w:val="hybridMultilevel"/>
    <w:tmpl w:val="143235BE"/>
    <w:lvl w:ilvl="0" w:tplc="3368A3A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C359E"/>
    <w:multiLevelType w:val="hybridMultilevel"/>
    <w:tmpl w:val="44EEE2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32294"/>
    <w:multiLevelType w:val="hybridMultilevel"/>
    <w:tmpl w:val="AD4E08A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85644"/>
    <w:multiLevelType w:val="hybridMultilevel"/>
    <w:tmpl w:val="5180F8D0"/>
    <w:lvl w:ilvl="0" w:tplc="8708AD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3A146119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778A5"/>
    <w:multiLevelType w:val="hybridMultilevel"/>
    <w:tmpl w:val="EAD8EEFC"/>
    <w:lvl w:ilvl="0" w:tplc="2CAC24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14714"/>
    <w:multiLevelType w:val="hybridMultilevel"/>
    <w:tmpl w:val="FBFC8C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72E71"/>
    <w:multiLevelType w:val="hybridMultilevel"/>
    <w:tmpl w:val="FDAA2B52"/>
    <w:lvl w:ilvl="0" w:tplc="787A603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 w15:restartNumberingAfterBreak="0">
    <w:nsid w:val="44DC7819"/>
    <w:multiLevelType w:val="hybridMultilevel"/>
    <w:tmpl w:val="E9D2BD44"/>
    <w:lvl w:ilvl="0" w:tplc="0DEA17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94785"/>
    <w:multiLevelType w:val="hybridMultilevel"/>
    <w:tmpl w:val="D9067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64723"/>
    <w:multiLevelType w:val="hybridMultilevel"/>
    <w:tmpl w:val="AB964618"/>
    <w:lvl w:ilvl="0" w:tplc="9AB80604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BEC6B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30038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4C210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C6F5F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3658D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5E020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62F74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D4500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685AD7"/>
    <w:multiLevelType w:val="hybridMultilevel"/>
    <w:tmpl w:val="488C9D04"/>
    <w:lvl w:ilvl="0" w:tplc="8B28119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202BC"/>
    <w:multiLevelType w:val="hybridMultilevel"/>
    <w:tmpl w:val="DCE6085E"/>
    <w:lvl w:ilvl="0" w:tplc="C02283DA">
      <w:start w:val="10"/>
      <w:numFmt w:val="bullet"/>
      <w:lvlText w:val="-"/>
      <w:lvlJc w:val="left"/>
      <w:pPr>
        <w:ind w:left="193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1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75075"/>
    <w:multiLevelType w:val="hybridMultilevel"/>
    <w:tmpl w:val="950800E6"/>
    <w:lvl w:ilvl="0" w:tplc="06C64F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82847C">
      <w:start w:val="2"/>
      <w:numFmt w:val="decimal"/>
      <w:lvlText w:val="%2."/>
      <w:lvlJc w:val="left"/>
      <w:pPr>
        <w:ind w:left="567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0E8C0C">
      <w:start w:val="1"/>
      <w:numFmt w:val="lowerRoman"/>
      <w:lvlText w:val="%3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CE162">
      <w:start w:val="1"/>
      <w:numFmt w:val="decimal"/>
      <w:lvlText w:val="%4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9ACDA0">
      <w:start w:val="1"/>
      <w:numFmt w:val="lowerLetter"/>
      <w:lvlText w:val="%5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8E6DA6">
      <w:start w:val="1"/>
      <w:numFmt w:val="lowerRoman"/>
      <w:lvlText w:val="%6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E512C">
      <w:start w:val="1"/>
      <w:numFmt w:val="decimal"/>
      <w:lvlText w:val="%7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41404">
      <w:start w:val="1"/>
      <w:numFmt w:val="lowerLetter"/>
      <w:lvlText w:val="%8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925E5E">
      <w:start w:val="1"/>
      <w:numFmt w:val="lowerRoman"/>
      <w:lvlText w:val="%9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C83218C"/>
    <w:multiLevelType w:val="hybridMultilevel"/>
    <w:tmpl w:val="F6605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F1DC2"/>
    <w:multiLevelType w:val="hybridMultilevel"/>
    <w:tmpl w:val="43DEFA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E0DE9"/>
    <w:multiLevelType w:val="hybridMultilevel"/>
    <w:tmpl w:val="25440E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F4BA3"/>
    <w:multiLevelType w:val="hybridMultilevel"/>
    <w:tmpl w:val="21DA261A"/>
    <w:lvl w:ilvl="0" w:tplc="871CBE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38F006C"/>
    <w:multiLevelType w:val="hybridMultilevel"/>
    <w:tmpl w:val="FCE80E20"/>
    <w:lvl w:ilvl="0" w:tplc="3C5C217A">
      <w:start w:val="5"/>
      <w:numFmt w:val="decimal"/>
      <w:lvlText w:val="%1."/>
      <w:lvlJc w:val="left"/>
      <w:pPr>
        <w:ind w:left="0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4DF60">
      <w:start w:val="1"/>
      <w:numFmt w:val="lowerLetter"/>
      <w:lvlText w:val="%2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B0E1CC">
      <w:start w:val="1"/>
      <w:numFmt w:val="lowerRoman"/>
      <w:lvlText w:val="%3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06247E">
      <w:start w:val="1"/>
      <w:numFmt w:val="decimal"/>
      <w:lvlText w:val="%4"/>
      <w:lvlJc w:val="left"/>
      <w:pPr>
        <w:ind w:left="2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71C030E">
      <w:start w:val="1"/>
      <w:numFmt w:val="lowerLetter"/>
      <w:lvlText w:val="%5"/>
      <w:lvlJc w:val="left"/>
      <w:pPr>
        <w:ind w:left="2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00FDB8">
      <w:start w:val="1"/>
      <w:numFmt w:val="lowerRoman"/>
      <w:lvlText w:val="%6"/>
      <w:lvlJc w:val="left"/>
      <w:pPr>
        <w:ind w:left="3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84B38A">
      <w:start w:val="1"/>
      <w:numFmt w:val="decimal"/>
      <w:lvlText w:val="%7"/>
      <w:lvlJc w:val="left"/>
      <w:pPr>
        <w:ind w:left="4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5AD100">
      <w:start w:val="1"/>
      <w:numFmt w:val="lowerLetter"/>
      <w:lvlText w:val="%8"/>
      <w:lvlJc w:val="left"/>
      <w:pPr>
        <w:ind w:left="5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CE5066">
      <w:start w:val="1"/>
      <w:numFmt w:val="lowerRoman"/>
      <w:lvlText w:val="%9"/>
      <w:lvlJc w:val="left"/>
      <w:pPr>
        <w:ind w:left="5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41C389B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21811"/>
    <w:multiLevelType w:val="hybridMultilevel"/>
    <w:tmpl w:val="23503522"/>
    <w:lvl w:ilvl="0" w:tplc="385222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B57F72"/>
    <w:multiLevelType w:val="hybridMultilevel"/>
    <w:tmpl w:val="B2363A6A"/>
    <w:lvl w:ilvl="0" w:tplc="83502E82">
      <w:start w:val="2"/>
      <w:numFmt w:val="bullet"/>
      <w:lvlText w:val="-"/>
      <w:lvlJc w:val="left"/>
      <w:pPr>
        <w:ind w:left="218" w:hanging="360"/>
      </w:pPr>
      <w:rPr>
        <w:rFonts w:ascii="Arial" w:eastAsiaTheme="minorHAnsi" w:hAnsi="Arial" w:cs="Arial" w:hint="default"/>
        <w:i/>
        <w:w w:val="105"/>
      </w:rPr>
    </w:lvl>
    <w:lvl w:ilvl="1" w:tplc="041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3"/>
  </w:num>
  <w:num w:numId="3">
    <w:abstractNumId w:val="29"/>
  </w:num>
  <w:num w:numId="4">
    <w:abstractNumId w:val="15"/>
  </w:num>
  <w:num w:numId="5">
    <w:abstractNumId w:val="17"/>
  </w:num>
  <w:num w:numId="6">
    <w:abstractNumId w:val="6"/>
  </w:num>
  <w:num w:numId="7">
    <w:abstractNumId w:val="30"/>
  </w:num>
  <w:num w:numId="8">
    <w:abstractNumId w:val="24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8"/>
  </w:num>
  <w:num w:numId="13">
    <w:abstractNumId w:val="0"/>
  </w:num>
  <w:num w:numId="14">
    <w:abstractNumId w:val="26"/>
  </w:num>
  <w:num w:numId="15">
    <w:abstractNumId w:val="19"/>
  </w:num>
  <w:num w:numId="16">
    <w:abstractNumId w:val="14"/>
  </w:num>
  <w:num w:numId="17">
    <w:abstractNumId w:val="25"/>
  </w:num>
  <w:num w:numId="18">
    <w:abstractNumId w:val="22"/>
  </w:num>
  <w:num w:numId="19">
    <w:abstractNumId w:val="38"/>
  </w:num>
  <w:num w:numId="20">
    <w:abstractNumId w:val="32"/>
  </w:num>
  <w:num w:numId="21">
    <w:abstractNumId w:val="27"/>
  </w:num>
  <w:num w:numId="22">
    <w:abstractNumId w:val="36"/>
  </w:num>
  <w:num w:numId="23">
    <w:abstractNumId w:val="12"/>
  </w:num>
  <w:num w:numId="24">
    <w:abstractNumId w:val="31"/>
  </w:num>
  <w:num w:numId="25">
    <w:abstractNumId w:val="4"/>
  </w:num>
  <w:num w:numId="26">
    <w:abstractNumId w:val="8"/>
  </w:num>
  <w:num w:numId="27">
    <w:abstractNumId w:val="10"/>
  </w:num>
  <w:num w:numId="28">
    <w:abstractNumId w:val="34"/>
  </w:num>
  <w:num w:numId="29">
    <w:abstractNumId w:val="39"/>
  </w:num>
  <w:num w:numId="30">
    <w:abstractNumId w:val="18"/>
  </w:num>
  <w:num w:numId="31">
    <w:abstractNumId w:val="21"/>
  </w:num>
  <w:num w:numId="32">
    <w:abstractNumId w:val="35"/>
  </w:num>
  <w:num w:numId="33">
    <w:abstractNumId w:val="9"/>
  </w:num>
  <w:num w:numId="34">
    <w:abstractNumId w:val="2"/>
  </w:num>
  <w:num w:numId="35">
    <w:abstractNumId w:val="33"/>
  </w:num>
  <w:num w:numId="36">
    <w:abstractNumId w:val="5"/>
  </w:num>
  <w:num w:numId="37">
    <w:abstractNumId w:val="13"/>
  </w:num>
  <w:num w:numId="38">
    <w:abstractNumId w:val="40"/>
  </w:num>
  <w:num w:numId="39">
    <w:abstractNumId w:val="37"/>
  </w:num>
  <w:num w:numId="40">
    <w:abstractNumId w:val="11"/>
  </w:num>
  <w:num w:numId="41">
    <w:abstractNumId w:val="2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96"/>
    <w:rsid w:val="00010698"/>
    <w:rsid w:val="0001531D"/>
    <w:rsid w:val="00035B34"/>
    <w:rsid w:val="00036082"/>
    <w:rsid w:val="00037568"/>
    <w:rsid w:val="00055237"/>
    <w:rsid w:val="00056968"/>
    <w:rsid w:val="0006556A"/>
    <w:rsid w:val="00080295"/>
    <w:rsid w:val="00082BA4"/>
    <w:rsid w:val="000906F7"/>
    <w:rsid w:val="00097C82"/>
    <w:rsid w:val="000A2065"/>
    <w:rsid w:val="000A4BFE"/>
    <w:rsid w:val="000C254D"/>
    <w:rsid w:val="000C3B5A"/>
    <w:rsid w:val="000E3EA6"/>
    <w:rsid w:val="000F23F0"/>
    <w:rsid w:val="00112456"/>
    <w:rsid w:val="00137577"/>
    <w:rsid w:val="001401A4"/>
    <w:rsid w:val="00141D6C"/>
    <w:rsid w:val="00147582"/>
    <w:rsid w:val="00166679"/>
    <w:rsid w:val="00175C47"/>
    <w:rsid w:val="0018087A"/>
    <w:rsid w:val="00193F4E"/>
    <w:rsid w:val="001952FE"/>
    <w:rsid w:val="001A52E1"/>
    <w:rsid w:val="001C0B4B"/>
    <w:rsid w:val="001C3EA5"/>
    <w:rsid w:val="001D50E8"/>
    <w:rsid w:val="001E1F75"/>
    <w:rsid w:val="00200D55"/>
    <w:rsid w:val="00246108"/>
    <w:rsid w:val="002508DA"/>
    <w:rsid w:val="00256F52"/>
    <w:rsid w:val="0026671C"/>
    <w:rsid w:val="002A0FB9"/>
    <w:rsid w:val="002C2DED"/>
    <w:rsid w:val="002D537D"/>
    <w:rsid w:val="002E0413"/>
    <w:rsid w:val="002E73C7"/>
    <w:rsid w:val="00312F2C"/>
    <w:rsid w:val="00323DB6"/>
    <w:rsid w:val="00334975"/>
    <w:rsid w:val="0033641B"/>
    <w:rsid w:val="00342234"/>
    <w:rsid w:val="003440B1"/>
    <w:rsid w:val="003706E0"/>
    <w:rsid w:val="00370CEB"/>
    <w:rsid w:val="003733ED"/>
    <w:rsid w:val="003762D6"/>
    <w:rsid w:val="00381945"/>
    <w:rsid w:val="00381C96"/>
    <w:rsid w:val="00381F27"/>
    <w:rsid w:val="00390B29"/>
    <w:rsid w:val="0039419A"/>
    <w:rsid w:val="0039584D"/>
    <w:rsid w:val="003A0C11"/>
    <w:rsid w:val="003A723D"/>
    <w:rsid w:val="003B4FC6"/>
    <w:rsid w:val="003C477C"/>
    <w:rsid w:val="003D5D73"/>
    <w:rsid w:val="003D761C"/>
    <w:rsid w:val="003D7EA6"/>
    <w:rsid w:val="003E77B1"/>
    <w:rsid w:val="004312CB"/>
    <w:rsid w:val="00434FD8"/>
    <w:rsid w:val="0044455A"/>
    <w:rsid w:val="00451D73"/>
    <w:rsid w:val="00463476"/>
    <w:rsid w:val="0046626C"/>
    <w:rsid w:val="0046772B"/>
    <w:rsid w:val="004721C3"/>
    <w:rsid w:val="004770AC"/>
    <w:rsid w:val="004928A4"/>
    <w:rsid w:val="004D25AD"/>
    <w:rsid w:val="004D657D"/>
    <w:rsid w:val="004D6DBB"/>
    <w:rsid w:val="00514BE9"/>
    <w:rsid w:val="00517CF7"/>
    <w:rsid w:val="005417BE"/>
    <w:rsid w:val="0054493D"/>
    <w:rsid w:val="0057331A"/>
    <w:rsid w:val="00581AF1"/>
    <w:rsid w:val="005868C5"/>
    <w:rsid w:val="00587C93"/>
    <w:rsid w:val="0059024D"/>
    <w:rsid w:val="005A0C5B"/>
    <w:rsid w:val="005A2E9C"/>
    <w:rsid w:val="005A6775"/>
    <w:rsid w:val="005A7258"/>
    <w:rsid w:val="005A76B0"/>
    <w:rsid w:val="005A7FEA"/>
    <w:rsid w:val="005C09C9"/>
    <w:rsid w:val="005C6E65"/>
    <w:rsid w:val="005D3A4D"/>
    <w:rsid w:val="005F2A49"/>
    <w:rsid w:val="005F5708"/>
    <w:rsid w:val="00602B5A"/>
    <w:rsid w:val="00613556"/>
    <w:rsid w:val="00614B99"/>
    <w:rsid w:val="006367FC"/>
    <w:rsid w:val="00645946"/>
    <w:rsid w:val="00652DE6"/>
    <w:rsid w:val="00683D72"/>
    <w:rsid w:val="006972C4"/>
    <w:rsid w:val="006C08A1"/>
    <w:rsid w:val="006C379C"/>
    <w:rsid w:val="006C588F"/>
    <w:rsid w:val="006C6129"/>
    <w:rsid w:val="006C6477"/>
    <w:rsid w:val="006D6B66"/>
    <w:rsid w:val="006D75E0"/>
    <w:rsid w:val="006E29FA"/>
    <w:rsid w:val="006E6F68"/>
    <w:rsid w:val="006F5A1C"/>
    <w:rsid w:val="0070004A"/>
    <w:rsid w:val="00700927"/>
    <w:rsid w:val="00716978"/>
    <w:rsid w:val="007202ED"/>
    <w:rsid w:val="00726385"/>
    <w:rsid w:val="00774C71"/>
    <w:rsid w:val="00797C5E"/>
    <w:rsid w:val="007A3E2C"/>
    <w:rsid w:val="007D24B7"/>
    <w:rsid w:val="007D4B28"/>
    <w:rsid w:val="007F416C"/>
    <w:rsid w:val="00814D33"/>
    <w:rsid w:val="0082617D"/>
    <w:rsid w:val="00832894"/>
    <w:rsid w:val="00880AB5"/>
    <w:rsid w:val="00881DF7"/>
    <w:rsid w:val="008825F8"/>
    <w:rsid w:val="00890117"/>
    <w:rsid w:val="008B372C"/>
    <w:rsid w:val="008C01E0"/>
    <w:rsid w:val="008D73DE"/>
    <w:rsid w:val="008E01AE"/>
    <w:rsid w:val="008F0DEE"/>
    <w:rsid w:val="008F24A5"/>
    <w:rsid w:val="00917C43"/>
    <w:rsid w:val="00921DE9"/>
    <w:rsid w:val="00930023"/>
    <w:rsid w:val="0094040E"/>
    <w:rsid w:val="00946978"/>
    <w:rsid w:val="00950B91"/>
    <w:rsid w:val="009675D3"/>
    <w:rsid w:val="0099302A"/>
    <w:rsid w:val="00993A5B"/>
    <w:rsid w:val="00994636"/>
    <w:rsid w:val="009A066B"/>
    <w:rsid w:val="009A285B"/>
    <w:rsid w:val="009B5369"/>
    <w:rsid w:val="009B60C2"/>
    <w:rsid w:val="009B6B4B"/>
    <w:rsid w:val="009C0624"/>
    <w:rsid w:val="009D691F"/>
    <w:rsid w:val="009E6A97"/>
    <w:rsid w:val="009F45B6"/>
    <w:rsid w:val="009F5803"/>
    <w:rsid w:val="009F60F2"/>
    <w:rsid w:val="00A04553"/>
    <w:rsid w:val="00A361EC"/>
    <w:rsid w:val="00A370F9"/>
    <w:rsid w:val="00A42FE5"/>
    <w:rsid w:val="00A76811"/>
    <w:rsid w:val="00A81886"/>
    <w:rsid w:val="00A84F59"/>
    <w:rsid w:val="00A93673"/>
    <w:rsid w:val="00AB498E"/>
    <w:rsid w:val="00AC0945"/>
    <w:rsid w:val="00AC59DB"/>
    <w:rsid w:val="00AE314F"/>
    <w:rsid w:val="00AF2849"/>
    <w:rsid w:val="00AF5814"/>
    <w:rsid w:val="00B00141"/>
    <w:rsid w:val="00B032B0"/>
    <w:rsid w:val="00B049CE"/>
    <w:rsid w:val="00B20118"/>
    <w:rsid w:val="00B45553"/>
    <w:rsid w:val="00B5530C"/>
    <w:rsid w:val="00B613E8"/>
    <w:rsid w:val="00B62396"/>
    <w:rsid w:val="00B7207B"/>
    <w:rsid w:val="00B72E81"/>
    <w:rsid w:val="00BA7264"/>
    <w:rsid w:val="00BB0507"/>
    <w:rsid w:val="00BB7263"/>
    <w:rsid w:val="00BC7977"/>
    <w:rsid w:val="00C0162E"/>
    <w:rsid w:val="00C02288"/>
    <w:rsid w:val="00C04B3C"/>
    <w:rsid w:val="00C15D7B"/>
    <w:rsid w:val="00C27F42"/>
    <w:rsid w:val="00C32BB5"/>
    <w:rsid w:val="00C629B1"/>
    <w:rsid w:val="00C8071D"/>
    <w:rsid w:val="00C841B0"/>
    <w:rsid w:val="00C9226F"/>
    <w:rsid w:val="00C92491"/>
    <w:rsid w:val="00CA351A"/>
    <w:rsid w:val="00CA6E57"/>
    <w:rsid w:val="00CB057D"/>
    <w:rsid w:val="00CB66CC"/>
    <w:rsid w:val="00CD37C2"/>
    <w:rsid w:val="00CD59AC"/>
    <w:rsid w:val="00CD5BB3"/>
    <w:rsid w:val="00CF4EDA"/>
    <w:rsid w:val="00D05E12"/>
    <w:rsid w:val="00D11F3F"/>
    <w:rsid w:val="00D326C5"/>
    <w:rsid w:val="00D357FB"/>
    <w:rsid w:val="00D406C2"/>
    <w:rsid w:val="00D6503E"/>
    <w:rsid w:val="00D718EC"/>
    <w:rsid w:val="00D72A19"/>
    <w:rsid w:val="00D90C84"/>
    <w:rsid w:val="00D91073"/>
    <w:rsid w:val="00DC1DAE"/>
    <w:rsid w:val="00DC71D7"/>
    <w:rsid w:val="00DE7D16"/>
    <w:rsid w:val="00DF5093"/>
    <w:rsid w:val="00DF6324"/>
    <w:rsid w:val="00E051A3"/>
    <w:rsid w:val="00E12D40"/>
    <w:rsid w:val="00E306E9"/>
    <w:rsid w:val="00E50C5D"/>
    <w:rsid w:val="00E647F8"/>
    <w:rsid w:val="00E654EC"/>
    <w:rsid w:val="00E66881"/>
    <w:rsid w:val="00E73D64"/>
    <w:rsid w:val="00E7621D"/>
    <w:rsid w:val="00E827F9"/>
    <w:rsid w:val="00E851E8"/>
    <w:rsid w:val="00EA0EA2"/>
    <w:rsid w:val="00EA7362"/>
    <w:rsid w:val="00EC0A95"/>
    <w:rsid w:val="00EC57F8"/>
    <w:rsid w:val="00ED0611"/>
    <w:rsid w:val="00ED18F2"/>
    <w:rsid w:val="00ED32E7"/>
    <w:rsid w:val="00F06F52"/>
    <w:rsid w:val="00F11E6D"/>
    <w:rsid w:val="00F369F9"/>
    <w:rsid w:val="00F42197"/>
    <w:rsid w:val="00F45187"/>
    <w:rsid w:val="00F520A7"/>
    <w:rsid w:val="00F54125"/>
    <w:rsid w:val="00F56C65"/>
    <w:rsid w:val="00F60FD4"/>
    <w:rsid w:val="00F678A4"/>
    <w:rsid w:val="00F72A3D"/>
    <w:rsid w:val="00F771A2"/>
    <w:rsid w:val="00F80F6F"/>
    <w:rsid w:val="00F8191F"/>
    <w:rsid w:val="00F977CF"/>
    <w:rsid w:val="00FA4C44"/>
    <w:rsid w:val="00FD43DD"/>
    <w:rsid w:val="00FD558E"/>
    <w:rsid w:val="00FD6C8E"/>
    <w:rsid w:val="00FE4238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B6F3AD"/>
  <w15:docId w15:val="{2A841EE4-0B96-4C03-9764-145D45F2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rtificate"/>
    <w:qFormat/>
    <w:rsid w:val="00C32BB5"/>
    <w:rPr>
      <w:rFonts w:ascii="Calibri" w:eastAsiaTheme="minorHAnsi" w:hAnsi="Calibri"/>
      <w:sz w:val="22"/>
      <w:szCs w:val="22"/>
      <w:lang w:val="hr-HR"/>
    </w:rPr>
  </w:style>
  <w:style w:type="paragraph" w:styleId="Naslov1">
    <w:name w:val="heading 1"/>
    <w:basedOn w:val="Normal"/>
    <w:link w:val="Naslov1Char"/>
    <w:uiPriority w:val="1"/>
    <w:qFormat/>
    <w:rsid w:val="00645946"/>
    <w:pPr>
      <w:widowControl w:val="0"/>
      <w:ind w:left="1149"/>
      <w:outlineLvl w:val="0"/>
    </w:pPr>
    <w:rPr>
      <w:rFonts w:ascii="Times New Roman" w:eastAsia="Times New Roman" w:hAnsi="Times New Roman" w:cstheme="minorBidi"/>
      <w:sz w:val="23"/>
      <w:szCs w:val="23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ertificateTitle">
    <w:name w:val="Certificate Title"/>
    <w:basedOn w:val="Normal"/>
    <w:autoRedefine/>
    <w:qFormat/>
    <w:rsid w:val="009A066B"/>
    <w:rPr>
      <w:rFonts w:ascii="Open Sans Light Italic" w:eastAsia="MS Mincho" w:hAnsi="Open Sans Light Italic"/>
      <w:color w:val="1F497D"/>
      <w:spacing w:val="20"/>
      <w:sz w:val="116"/>
      <w:szCs w:val="116"/>
      <w:lang w:val="en-US"/>
    </w:rPr>
  </w:style>
  <w:style w:type="paragraph" w:customStyle="1" w:styleId="Body">
    <w:name w:val="Body"/>
    <w:autoRedefine/>
    <w:qFormat/>
    <w:rsid w:val="006D6B66"/>
    <w:pPr>
      <w:spacing w:line="276" w:lineRule="auto"/>
      <w:ind w:hanging="426"/>
      <w:contextualSpacing/>
      <w:jc w:val="both"/>
    </w:pPr>
    <w:rPr>
      <w:rFonts w:ascii="Arial" w:hAnsi="Arial"/>
      <w:lang w:val="hr-HR"/>
    </w:rPr>
  </w:style>
  <w:style w:type="paragraph" w:customStyle="1" w:styleId="SignatureLine">
    <w:name w:val="Signature Line"/>
    <w:basedOn w:val="Body"/>
    <w:autoRedefine/>
    <w:qFormat/>
    <w:rsid w:val="00141D6C"/>
    <w:rPr>
      <w:color w:val="1F497D"/>
    </w:rPr>
  </w:style>
  <w:style w:type="paragraph" w:styleId="Zaglavlje">
    <w:name w:val="header"/>
    <w:basedOn w:val="Normal"/>
    <w:link w:val="ZaglavljeChar"/>
    <w:uiPriority w:val="99"/>
    <w:unhideWhenUsed/>
    <w:rsid w:val="00200D55"/>
    <w:pPr>
      <w:tabs>
        <w:tab w:val="center" w:pos="4320"/>
        <w:tab w:val="right" w:pos="8640"/>
      </w:tabs>
    </w:pPr>
    <w:rPr>
      <w:rFonts w:ascii="Open Sans Bold" w:eastAsia="MS Mincho" w:hAnsi="Open Sans Bold"/>
      <w:color w:val="139CEA"/>
      <w:spacing w:val="70"/>
      <w:sz w:val="48"/>
      <w:szCs w:val="48"/>
      <w:lang w:val="en-US"/>
    </w:rPr>
  </w:style>
  <w:style w:type="character" w:customStyle="1" w:styleId="ZaglavljeChar">
    <w:name w:val="Zaglavlje Char"/>
    <w:link w:val="Zaglavlje"/>
    <w:uiPriority w:val="99"/>
    <w:rsid w:val="00200D55"/>
    <w:rPr>
      <w:rFonts w:ascii="Open Sans Bold" w:hAnsi="Open Sans Bold"/>
      <w:color w:val="139CEA"/>
      <w:spacing w:val="70"/>
      <w:sz w:val="48"/>
      <w:szCs w:val="48"/>
    </w:rPr>
  </w:style>
  <w:style w:type="paragraph" w:styleId="Podnoje">
    <w:name w:val="footer"/>
    <w:basedOn w:val="Normal"/>
    <w:link w:val="PodnojeChar"/>
    <w:uiPriority w:val="99"/>
    <w:unhideWhenUsed/>
    <w:rsid w:val="00200D55"/>
    <w:pPr>
      <w:tabs>
        <w:tab w:val="center" w:pos="4320"/>
        <w:tab w:val="right" w:pos="8640"/>
      </w:tabs>
    </w:pPr>
    <w:rPr>
      <w:rFonts w:ascii="Open Sans Bold" w:eastAsia="MS Mincho" w:hAnsi="Open Sans Bold"/>
      <w:color w:val="139CEA"/>
      <w:spacing w:val="70"/>
      <w:sz w:val="48"/>
      <w:szCs w:val="48"/>
      <w:lang w:val="en-US"/>
    </w:rPr>
  </w:style>
  <w:style w:type="character" w:customStyle="1" w:styleId="PodnojeChar">
    <w:name w:val="Podnožje Char"/>
    <w:link w:val="Podnoje"/>
    <w:uiPriority w:val="99"/>
    <w:rsid w:val="00200D55"/>
    <w:rPr>
      <w:rFonts w:ascii="Open Sans Bold" w:hAnsi="Open Sans Bold"/>
      <w:color w:val="139CEA"/>
      <w:spacing w:val="70"/>
      <w:sz w:val="48"/>
      <w:szCs w:val="4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0D55"/>
    <w:rPr>
      <w:rFonts w:ascii="Lucida Grande" w:eastAsia="MS Mincho" w:hAnsi="Lucida Grande" w:cs="Lucida Grande"/>
      <w:color w:val="139CEA"/>
      <w:spacing w:val="70"/>
      <w:sz w:val="18"/>
      <w:szCs w:val="18"/>
      <w:lang w:val="en-US"/>
    </w:rPr>
  </w:style>
  <w:style w:type="character" w:customStyle="1" w:styleId="TekstbaloniaChar">
    <w:name w:val="Tekst balončića Char"/>
    <w:link w:val="Tekstbalonia"/>
    <w:uiPriority w:val="99"/>
    <w:semiHidden/>
    <w:rsid w:val="00200D55"/>
    <w:rPr>
      <w:rFonts w:ascii="Lucida Grande" w:hAnsi="Lucida Grande" w:cs="Lucida Grande"/>
      <w:color w:val="139CEA"/>
      <w:spacing w:val="70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1"/>
    <w:rsid w:val="00645946"/>
    <w:rPr>
      <w:rFonts w:ascii="Times New Roman" w:eastAsia="Times New Roman" w:hAnsi="Times New Roman" w:cstheme="minorBidi"/>
      <w:sz w:val="23"/>
      <w:szCs w:val="23"/>
    </w:rPr>
  </w:style>
  <w:style w:type="paragraph" w:styleId="Tijeloteksta">
    <w:name w:val="Body Text"/>
    <w:basedOn w:val="Normal"/>
    <w:link w:val="TijelotekstaChar"/>
    <w:uiPriority w:val="1"/>
    <w:qFormat/>
    <w:rsid w:val="00645946"/>
    <w:pPr>
      <w:widowControl w:val="0"/>
      <w:spacing w:before="1"/>
      <w:ind w:left="119"/>
    </w:pPr>
    <w:rPr>
      <w:rFonts w:ascii="Times New Roman" w:eastAsia="Times New Roman" w:hAnsi="Times New Roman" w:cstheme="minorBidi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645946"/>
    <w:rPr>
      <w:rFonts w:ascii="Times New Roman" w:eastAsia="Times New Roman" w:hAnsi="Times New Roman" w:cstheme="minorBidi"/>
      <w:sz w:val="22"/>
      <w:szCs w:val="22"/>
    </w:rPr>
  </w:style>
  <w:style w:type="paragraph" w:styleId="Odlomakpopisa">
    <w:name w:val="List Paragraph"/>
    <w:basedOn w:val="Normal"/>
    <w:uiPriority w:val="34"/>
    <w:qFormat/>
    <w:rsid w:val="0064594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369F9"/>
    <w:rPr>
      <w:color w:val="FFFF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6367F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D91073"/>
    <w:rPr>
      <w:rFonts w:asciiTheme="minorHAnsi" w:eastAsiaTheme="minorHAnsi" w:hAnsiTheme="minorHAnsi" w:cstheme="minorBid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F72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atica.arambasic\Desktop\MF%20100%20IDENTITET%20STANDARDI\predlosci\memorandumi\MF%20100%20memo%20hrv.dotx" TargetMode="External"/></Relationships>
</file>

<file path=word/theme/theme1.xml><?xml version="1.0" encoding="utf-8"?>
<a:theme xmlns:a="http://schemas.openxmlformats.org/drawingml/2006/main" name="MEF">
  <a:themeElements>
    <a:clrScheme name="MEF">
      <a:dk1>
        <a:sysClr val="windowText" lastClr="000000"/>
      </a:dk1>
      <a:lt1>
        <a:sysClr val="window" lastClr="FFFFFF"/>
      </a:lt1>
      <a:dk2>
        <a:srgbClr val="032A5C"/>
      </a:dk2>
      <a:lt2>
        <a:srgbClr val="E6E6E6"/>
      </a:lt2>
      <a:accent1>
        <a:srgbClr val="032A5C"/>
      </a:accent1>
      <a:accent2>
        <a:srgbClr val="FFFFFF"/>
      </a:accent2>
      <a:accent3>
        <a:srgbClr val="000000"/>
      </a:accent3>
      <a:accent4>
        <a:srgbClr val="848484"/>
      </a:accent4>
      <a:accent5>
        <a:srgbClr val="BCBCBC"/>
      </a:accent5>
      <a:accent6>
        <a:srgbClr val="515151"/>
      </a:accent6>
      <a:hlink>
        <a:srgbClr val="FFFFFF"/>
      </a:hlink>
      <a:folHlink>
        <a:srgbClr val="FFFFFF"/>
      </a:folHlink>
    </a:clrScheme>
    <a:fontScheme name="MEF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/>
      <a:bodyPr vert="horz" lIns="91440" tIns="45720" rIns="91440" bIns="45720" rtlCol="0" anchor="ctr">
        <a:normAutofit/>
      </a:bodyPr>
      <a:lstStyle>
        <a:defPPr>
          <a:defRPr dirty="0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1F8747-F1C8-4C0A-AE10-C2794AB7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MF 100 memo hrv</Template>
  <TotalTime>296</TotalTime>
  <Pages>7</Pages>
  <Words>1984</Words>
  <Characters>11309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krikstudio</Company>
  <LinksUpToDate>false</LinksUpToDate>
  <CharactersWithSpaces>13267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katica.arambasic</dc:creator>
  <cp:keywords/>
  <dc:description/>
  <cp:lastModifiedBy>Marina Sočković</cp:lastModifiedBy>
  <cp:revision>12</cp:revision>
  <cp:lastPrinted>2022-09-27T12:23:00Z</cp:lastPrinted>
  <dcterms:created xsi:type="dcterms:W3CDTF">2024-11-06T06:48:00Z</dcterms:created>
  <dcterms:modified xsi:type="dcterms:W3CDTF">2024-12-16T15:12:00Z</dcterms:modified>
</cp:coreProperties>
</file>