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24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>E U ZAGREBU MEDICINSKI FAKULTET</w:t>
      </w:r>
    </w:p>
    <w:p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ŠALATA 3</w:t>
      </w:r>
    </w:p>
    <w:p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:rsidR="00A81F0E" w:rsidRDefault="00A81F0E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OIB: 45001686598</w:t>
      </w:r>
    </w:p>
    <w:p w:rsidR="007A41A7" w:rsidRDefault="007A41A7" w:rsidP="007A41A7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RKP: 01888</w:t>
      </w:r>
    </w:p>
    <w:p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:rsidR="00B55A24" w:rsidRDefault="00B55A24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5A24">
        <w:rPr>
          <w:rFonts w:ascii="Times New Roman" w:hAnsi="Times New Roman"/>
          <w:b/>
          <w:bCs/>
          <w:sz w:val="24"/>
          <w:szCs w:val="24"/>
        </w:rPr>
        <w:t xml:space="preserve">OBRAZLOŽENJE OPĆEG DIJELA </w:t>
      </w:r>
      <w:r w:rsidR="00242B04">
        <w:rPr>
          <w:rFonts w:ascii="Times New Roman" w:hAnsi="Times New Roman"/>
          <w:b/>
          <w:bCs/>
          <w:sz w:val="24"/>
          <w:szCs w:val="24"/>
        </w:rPr>
        <w:t xml:space="preserve">POLUGODIŠNJEG IZVJEŠTAJA O IZVRŠENJU FINANCIJSKOG PLANA ZA </w:t>
      </w:r>
      <w:r w:rsidRPr="00B55A24">
        <w:rPr>
          <w:rFonts w:ascii="Times New Roman" w:hAnsi="Times New Roman"/>
          <w:b/>
          <w:bCs/>
          <w:sz w:val="24"/>
          <w:szCs w:val="24"/>
        </w:rPr>
        <w:t>202</w:t>
      </w:r>
      <w:r w:rsidR="00730034">
        <w:rPr>
          <w:rFonts w:ascii="Times New Roman" w:hAnsi="Times New Roman"/>
          <w:b/>
          <w:bCs/>
          <w:sz w:val="24"/>
          <w:szCs w:val="24"/>
        </w:rPr>
        <w:t>5</w:t>
      </w:r>
      <w:r w:rsidRPr="00B55A24">
        <w:rPr>
          <w:rFonts w:ascii="Times New Roman" w:hAnsi="Times New Roman"/>
          <w:b/>
          <w:bCs/>
          <w:sz w:val="24"/>
          <w:szCs w:val="24"/>
        </w:rPr>
        <w:t>. GODINU</w:t>
      </w:r>
    </w:p>
    <w:p w:rsidR="00AF3D2A" w:rsidRDefault="00AF3D2A" w:rsidP="00B55A24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F3D2A" w:rsidRDefault="00AF3D2A" w:rsidP="00B122BF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Financijski plan Medicinskog fakulteta za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godinu izrađen je prema metodologiji propisanoj Zakon</w:t>
      </w:r>
      <w:r w:rsidR="00B122BF">
        <w:rPr>
          <w:rFonts w:ascii="Times New Roman" w:hAnsi="Times New Roman"/>
          <w:bCs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 xml:space="preserve">m o proračunu, Zakonom o fiskalnoj odgovornosti, </w:t>
      </w:r>
      <w:proofErr w:type="spellStart"/>
      <w:r>
        <w:rPr>
          <w:rFonts w:ascii="Times New Roman" w:hAnsi="Times New Roman"/>
          <w:bCs/>
          <w:sz w:val="24"/>
          <w:szCs w:val="24"/>
        </w:rPr>
        <w:t>podzakonskim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aktima kojima se regulira provedba zakonskih regulativa kao što su Pravilnik o proračunskom računovodstvu i računskom planu i Pravilnik o proračunskim klasifikacijama</w:t>
      </w:r>
      <w:r w:rsidR="00B122BF">
        <w:rPr>
          <w:rFonts w:ascii="Times New Roman" w:hAnsi="Times New Roman"/>
          <w:bCs/>
          <w:sz w:val="24"/>
          <w:szCs w:val="24"/>
        </w:rPr>
        <w:t>, pridržavajući se uputa Ministarstva znanosti i obrazovanja za razdoblje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 w:rsidR="00B122BF">
        <w:rPr>
          <w:rFonts w:ascii="Times New Roman" w:hAnsi="Times New Roman"/>
          <w:bCs/>
          <w:sz w:val="24"/>
          <w:szCs w:val="24"/>
        </w:rPr>
        <w:t>. – 202</w:t>
      </w:r>
      <w:r w:rsidR="00730034">
        <w:rPr>
          <w:rFonts w:ascii="Times New Roman" w:hAnsi="Times New Roman"/>
          <w:bCs/>
          <w:sz w:val="24"/>
          <w:szCs w:val="24"/>
        </w:rPr>
        <w:t>7</w:t>
      </w:r>
      <w:r w:rsidR="00B122BF">
        <w:rPr>
          <w:rFonts w:ascii="Times New Roman" w:hAnsi="Times New Roman"/>
          <w:bCs/>
          <w:sz w:val="24"/>
          <w:szCs w:val="24"/>
        </w:rPr>
        <w:t>.</w:t>
      </w:r>
    </w:p>
    <w:p w:rsidR="00B122BF" w:rsidRDefault="00B122BF" w:rsidP="00B122BF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Sadržaj, podnošenje i donošenje Izvještaja o izvršenju Financijskog plana proračunskog korisnika propisani su u čl. 81.- 85. Zakona o proračunu  (NN144/21) i Pravilnika o polugodišnjem i godišnjem izvještaju o izvršenju proračuna i financijskog plana. Izvješt</w:t>
      </w:r>
      <w:r w:rsidR="00305FD7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jem o izvršenju F</w:t>
      </w:r>
      <w:r w:rsidR="00305FD7">
        <w:rPr>
          <w:rFonts w:ascii="Times New Roman" w:hAnsi="Times New Roman"/>
          <w:bCs/>
          <w:sz w:val="24"/>
          <w:szCs w:val="24"/>
        </w:rPr>
        <w:t>inancijskog plana omoguć</w:t>
      </w:r>
      <w:r>
        <w:rPr>
          <w:rFonts w:ascii="Times New Roman" w:hAnsi="Times New Roman"/>
          <w:bCs/>
          <w:sz w:val="24"/>
          <w:szCs w:val="24"/>
        </w:rPr>
        <w:t>uje se praćenje ostvarenja planiran</w:t>
      </w:r>
      <w:r w:rsidR="00305FD7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>h pozicija prihoda, primitaka, rashoda, izdataka, viškova i manjkova unutar jedne proračunske godine.</w:t>
      </w:r>
    </w:p>
    <w:p w:rsidR="00B122BF" w:rsidRDefault="00B122BF" w:rsidP="00B122BF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Financijski pl</w:t>
      </w:r>
      <w:r w:rsidR="00D76EFC">
        <w:rPr>
          <w:rFonts w:ascii="Times New Roman" w:hAnsi="Times New Roman"/>
          <w:bCs/>
          <w:sz w:val="24"/>
          <w:szCs w:val="24"/>
        </w:rPr>
        <w:t>an Medicinskog fakulteta za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godinu čine prihodi i r</w:t>
      </w:r>
      <w:r w:rsidR="00305FD7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shodi raspoređeni u programe koji se sastoje od aktivnosti i projekata, a iskazani su prema ekonomskoj i funkcijskoj klasifikaciji te izvorima financiranja.</w:t>
      </w:r>
      <w:r w:rsidR="00DC0E53">
        <w:rPr>
          <w:rFonts w:ascii="Times New Roman" w:hAnsi="Times New Roman"/>
          <w:bCs/>
          <w:sz w:val="24"/>
          <w:szCs w:val="24"/>
        </w:rPr>
        <w:t xml:space="preserve"> </w:t>
      </w:r>
    </w:p>
    <w:p w:rsidR="00B122BF" w:rsidRDefault="00DC0E53" w:rsidP="006503DA">
      <w:pPr>
        <w:ind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Opći dio financijskog plana za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godinu sastoji se od Računa prihoda i rashoda, te prenesenog viška prihoda iz prethodnih godina.</w:t>
      </w:r>
    </w:p>
    <w:p w:rsidR="00DC0E53" w:rsidRDefault="00DC0E53" w:rsidP="00B122BF">
      <w:pPr>
        <w:jc w:val="both"/>
        <w:rPr>
          <w:rFonts w:ascii="Times New Roman" w:hAnsi="Times New Roman"/>
          <w:bCs/>
          <w:sz w:val="24"/>
          <w:szCs w:val="24"/>
        </w:rPr>
      </w:pPr>
    </w:p>
    <w:p w:rsidR="005D6DF6" w:rsidRDefault="006503DA" w:rsidP="005D6DF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PRIHODI </w:t>
      </w:r>
      <w:r w:rsidR="005C0785">
        <w:rPr>
          <w:rFonts w:ascii="Times New Roman" w:hAnsi="Times New Roman"/>
          <w:b/>
          <w:bCs/>
          <w:sz w:val="24"/>
          <w:szCs w:val="24"/>
        </w:rPr>
        <w:t>I PRIMICI</w:t>
      </w:r>
    </w:p>
    <w:p w:rsidR="005D6DF6" w:rsidRDefault="005D6DF6" w:rsidP="005D6DF6">
      <w:pPr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6503DA" w:rsidRPr="005D6DF6" w:rsidRDefault="006503DA" w:rsidP="00893CF1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6503DA">
        <w:rPr>
          <w:rFonts w:ascii="Times New Roman" w:hAnsi="Times New Roman"/>
          <w:bCs/>
          <w:sz w:val="24"/>
          <w:szCs w:val="24"/>
        </w:rPr>
        <w:t>Ukupni prihod</w:t>
      </w:r>
      <w:r w:rsidR="00DE01E1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za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godinu planirani su u iznosu </w:t>
      </w:r>
      <w:r w:rsidR="00730034">
        <w:rPr>
          <w:rFonts w:ascii="Times New Roman" w:hAnsi="Times New Roman"/>
          <w:bCs/>
          <w:sz w:val="24"/>
          <w:szCs w:val="24"/>
        </w:rPr>
        <w:t>57</w:t>
      </w:r>
      <w:r>
        <w:rPr>
          <w:rFonts w:ascii="Times New Roman" w:hAnsi="Times New Roman"/>
          <w:bCs/>
          <w:sz w:val="24"/>
          <w:szCs w:val="24"/>
        </w:rPr>
        <w:t>.</w:t>
      </w:r>
      <w:r w:rsidR="00166161">
        <w:rPr>
          <w:rFonts w:ascii="Times New Roman" w:hAnsi="Times New Roman"/>
          <w:bCs/>
          <w:sz w:val="24"/>
          <w:szCs w:val="24"/>
        </w:rPr>
        <w:t>3</w:t>
      </w:r>
      <w:r w:rsidR="00730034">
        <w:rPr>
          <w:rFonts w:ascii="Times New Roman" w:hAnsi="Times New Roman"/>
          <w:bCs/>
          <w:sz w:val="24"/>
          <w:szCs w:val="24"/>
        </w:rPr>
        <w:t>49</w:t>
      </w:r>
      <w:r>
        <w:rPr>
          <w:rFonts w:ascii="Times New Roman" w:hAnsi="Times New Roman"/>
          <w:bCs/>
          <w:sz w:val="24"/>
          <w:szCs w:val="24"/>
        </w:rPr>
        <w:t>.</w:t>
      </w:r>
      <w:r w:rsidR="00730034">
        <w:rPr>
          <w:rFonts w:ascii="Times New Roman" w:hAnsi="Times New Roman"/>
          <w:bCs/>
          <w:sz w:val="24"/>
          <w:szCs w:val="24"/>
        </w:rPr>
        <w:t>319</w:t>
      </w:r>
      <w:r>
        <w:rPr>
          <w:rFonts w:ascii="Times New Roman" w:hAnsi="Times New Roman"/>
          <w:bCs/>
          <w:sz w:val="24"/>
          <w:szCs w:val="24"/>
        </w:rPr>
        <w:t xml:space="preserve">,00 </w:t>
      </w:r>
      <w:r w:rsidR="005C0785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ura, a ostvareni su u razdoblju siječanj</w:t>
      </w:r>
      <w:r w:rsidR="002F27E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-</w:t>
      </w:r>
      <w:r w:rsidR="002F27E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lipanj 202</w:t>
      </w:r>
      <w:r w:rsidR="00730034">
        <w:rPr>
          <w:rFonts w:ascii="Times New Roman" w:hAnsi="Times New Roman"/>
          <w:bCs/>
          <w:sz w:val="24"/>
          <w:szCs w:val="24"/>
        </w:rPr>
        <w:t>5</w:t>
      </w:r>
      <w:r w:rsidR="00166161">
        <w:rPr>
          <w:rFonts w:ascii="Times New Roman" w:hAnsi="Times New Roman"/>
          <w:bCs/>
          <w:sz w:val="24"/>
          <w:szCs w:val="24"/>
        </w:rPr>
        <w:t xml:space="preserve">. godine u iznosu </w:t>
      </w:r>
      <w:r w:rsidR="00730034">
        <w:rPr>
          <w:rFonts w:ascii="Times New Roman" w:hAnsi="Times New Roman"/>
          <w:bCs/>
          <w:sz w:val="24"/>
          <w:szCs w:val="24"/>
        </w:rPr>
        <w:t>3</w:t>
      </w:r>
      <w:r w:rsidR="00166161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>.</w:t>
      </w:r>
      <w:r w:rsidR="00730034">
        <w:rPr>
          <w:rFonts w:ascii="Times New Roman" w:hAnsi="Times New Roman"/>
          <w:bCs/>
          <w:sz w:val="24"/>
          <w:szCs w:val="24"/>
        </w:rPr>
        <w:t>866</w:t>
      </w:r>
      <w:r>
        <w:rPr>
          <w:rFonts w:ascii="Times New Roman" w:hAnsi="Times New Roman"/>
          <w:bCs/>
          <w:sz w:val="24"/>
          <w:szCs w:val="24"/>
        </w:rPr>
        <w:t>.</w:t>
      </w:r>
      <w:r w:rsidR="00730034">
        <w:rPr>
          <w:rFonts w:ascii="Times New Roman" w:hAnsi="Times New Roman"/>
          <w:bCs/>
          <w:sz w:val="24"/>
          <w:szCs w:val="24"/>
        </w:rPr>
        <w:t>369</w:t>
      </w:r>
      <w:r>
        <w:rPr>
          <w:rFonts w:ascii="Times New Roman" w:hAnsi="Times New Roman"/>
          <w:bCs/>
          <w:sz w:val="24"/>
          <w:szCs w:val="24"/>
        </w:rPr>
        <w:t>,</w:t>
      </w:r>
      <w:r w:rsidR="00730034">
        <w:rPr>
          <w:rFonts w:ascii="Times New Roman" w:hAnsi="Times New Roman"/>
          <w:bCs/>
          <w:sz w:val="24"/>
          <w:szCs w:val="24"/>
        </w:rPr>
        <w:t>14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C0785">
        <w:rPr>
          <w:rFonts w:ascii="Times New Roman" w:hAnsi="Times New Roman"/>
          <w:bCs/>
          <w:sz w:val="24"/>
          <w:szCs w:val="24"/>
        </w:rPr>
        <w:t>e</w:t>
      </w:r>
      <w:r w:rsidR="00DE01E1">
        <w:rPr>
          <w:rFonts w:ascii="Times New Roman" w:hAnsi="Times New Roman"/>
          <w:bCs/>
          <w:sz w:val="24"/>
          <w:szCs w:val="24"/>
        </w:rPr>
        <w:t>ura</w:t>
      </w:r>
      <w:r w:rsidR="00730034">
        <w:rPr>
          <w:rFonts w:ascii="Times New Roman" w:hAnsi="Times New Roman"/>
          <w:bCs/>
          <w:sz w:val="24"/>
          <w:szCs w:val="24"/>
        </w:rPr>
        <w:t xml:space="preserve"> što iznosi 59,05</w:t>
      </w:r>
      <w:r w:rsidR="00166161">
        <w:rPr>
          <w:rFonts w:ascii="Times New Roman" w:hAnsi="Times New Roman"/>
          <w:bCs/>
          <w:sz w:val="24"/>
          <w:szCs w:val="24"/>
        </w:rPr>
        <w:t xml:space="preserve"> % u odnosu na planirane</w:t>
      </w:r>
      <w:r w:rsidR="00DE01E1">
        <w:rPr>
          <w:rFonts w:ascii="Times New Roman" w:hAnsi="Times New Roman"/>
          <w:bCs/>
          <w:sz w:val="24"/>
          <w:szCs w:val="24"/>
        </w:rPr>
        <w:t xml:space="preserve">. </w:t>
      </w:r>
    </w:p>
    <w:p w:rsidR="00F06EA9" w:rsidRDefault="00DE01E1" w:rsidP="00893CF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Pregled planiranih i ostvarenih</w:t>
      </w:r>
      <w:r w:rsidR="00F06EA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prihoda </w:t>
      </w:r>
      <w:r w:rsidR="00F06EA9">
        <w:rPr>
          <w:rFonts w:ascii="Times New Roman" w:hAnsi="Times New Roman"/>
          <w:bCs/>
          <w:sz w:val="24"/>
          <w:szCs w:val="24"/>
        </w:rPr>
        <w:t xml:space="preserve">prema ekonomskoj klasifikaciji </w:t>
      </w:r>
      <w:r w:rsidR="00D9558C">
        <w:rPr>
          <w:rFonts w:ascii="Times New Roman" w:hAnsi="Times New Roman"/>
          <w:bCs/>
          <w:sz w:val="24"/>
          <w:szCs w:val="24"/>
        </w:rPr>
        <w:t>i izvoru financiranja,</w:t>
      </w:r>
      <w:r w:rsidR="000309CD">
        <w:rPr>
          <w:rFonts w:ascii="Times New Roman" w:hAnsi="Times New Roman"/>
          <w:bCs/>
          <w:sz w:val="24"/>
          <w:szCs w:val="24"/>
        </w:rPr>
        <w:t xml:space="preserve"> daje se u tabličnom</w:t>
      </w:r>
      <w:r w:rsidR="00F06EA9">
        <w:rPr>
          <w:rFonts w:ascii="Times New Roman" w:hAnsi="Times New Roman"/>
          <w:bCs/>
          <w:sz w:val="24"/>
          <w:szCs w:val="24"/>
        </w:rPr>
        <w:t xml:space="preserve"> prikazu:</w:t>
      </w:r>
    </w:p>
    <w:tbl>
      <w:tblPr>
        <w:tblStyle w:val="Reetkatablice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4904"/>
        <w:gridCol w:w="723"/>
        <w:gridCol w:w="1762"/>
        <w:gridCol w:w="1762"/>
        <w:gridCol w:w="1043"/>
      </w:tblGrid>
      <w:tr w:rsidR="00D9558C" w:rsidTr="00E80CD8">
        <w:tc>
          <w:tcPr>
            <w:tcW w:w="4904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Vrsta prihoda</w:t>
            </w:r>
          </w:p>
        </w:tc>
        <w:tc>
          <w:tcPr>
            <w:tcW w:w="723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Izvor fina.</w:t>
            </w:r>
          </w:p>
        </w:tc>
        <w:tc>
          <w:tcPr>
            <w:tcW w:w="1762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Plan</w:t>
            </w:r>
          </w:p>
        </w:tc>
        <w:tc>
          <w:tcPr>
            <w:tcW w:w="1762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Izvršenje</w:t>
            </w:r>
          </w:p>
        </w:tc>
        <w:tc>
          <w:tcPr>
            <w:tcW w:w="1043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Indeks</w:t>
            </w:r>
          </w:p>
        </w:tc>
      </w:tr>
      <w:tr w:rsidR="00D9558C" w:rsidTr="00E80CD8">
        <w:tc>
          <w:tcPr>
            <w:tcW w:w="4904" w:type="dxa"/>
          </w:tcPr>
          <w:p w:rsidR="00D9558C" w:rsidRPr="00F778A1" w:rsidRDefault="00D9558C" w:rsidP="00BC2F2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>Prihodi poslovanja</w:t>
            </w:r>
          </w:p>
        </w:tc>
        <w:tc>
          <w:tcPr>
            <w:tcW w:w="723" w:type="dxa"/>
          </w:tcPr>
          <w:p w:rsidR="00D9558C" w:rsidRPr="00F778A1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62" w:type="dxa"/>
          </w:tcPr>
          <w:p w:rsidR="00D9558C" w:rsidRPr="00F778A1" w:rsidRDefault="00CC3221" w:rsidP="00CC3221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57</w:t>
            </w:r>
            <w:r w:rsidR="005227FC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349</w:t>
            </w:r>
            <w:r w:rsidR="005227FC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319</w:t>
            </w:r>
            <w:r w:rsidR="005227FC">
              <w:rPr>
                <w:rFonts w:ascii="Times New Roman" w:hAnsi="Times New Roman"/>
                <w:bCs/>
                <w:i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D9558C" w:rsidRPr="00F778A1" w:rsidRDefault="005227FC" w:rsidP="00CC3221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  <w:r w:rsidR="00CC3221">
              <w:rPr>
                <w:rFonts w:ascii="Times New Roman" w:hAnsi="Times New Roman"/>
                <w:bCs/>
                <w:i/>
                <w:sz w:val="24"/>
                <w:szCs w:val="24"/>
              </w:rPr>
              <w:t>33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CC3221">
              <w:rPr>
                <w:rFonts w:ascii="Times New Roman" w:hAnsi="Times New Roman"/>
                <w:bCs/>
                <w:i/>
                <w:sz w:val="24"/>
                <w:szCs w:val="24"/>
              </w:rPr>
              <w:t>866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CC3221">
              <w:rPr>
                <w:rFonts w:ascii="Times New Roman" w:hAnsi="Times New Roman"/>
                <w:bCs/>
                <w:i/>
                <w:sz w:val="24"/>
                <w:szCs w:val="24"/>
              </w:rPr>
              <w:t>369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CC3221">
              <w:rPr>
                <w:rFonts w:ascii="Times New Roman" w:hAnsi="Times New Roman"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1043" w:type="dxa"/>
          </w:tcPr>
          <w:p w:rsidR="00D9558C" w:rsidRPr="00F778A1" w:rsidRDefault="005227FC" w:rsidP="00CC3221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</w:t>
            </w:r>
            <w:r w:rsidR="00CC3221">
              <w:rPr>
                <w:rFonts w:ascii="Times New Roman" w:hAnsi="Times New Roman"/>
                <w:bCs/>
                <w:i/>
                <w:sz w:val="24"/>
                <w:szCs w:val="24"/>
              </w:rPr>
              <w:t>59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CC3221">
              <w:rPr>
                <w:rFonts w:ascii="Times New Roman" w:hAnsi="Times New Roman"/>
                <w:bCs/>
                <w:i/>
                <w:sz w:val="24"/>
                <w:szCs w:val="24"/>
              </w:rPr>
              <w:t>05</w:t>
            </w:r>
          </w:p>
        </w:tc>
      </w:tr>
      <w:tr w:rsidR="00D9558C" w:rsidTr="00E80CD8">
        <w:tc>
          <w:tcPr>
            <w:tcW w:w="4904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iz nadležnog proračuna za financiranje redovne djelatnosti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(671)</w:t>
            </w:r>
          </w:p>
        </w:tc>
        <w:tc>
          <w:tcPr>
            <w:tcW w:w="723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:rsidR="00D9558C" w:rsidRDefault="00D9558C" w:rsidP="00CC3221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660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>.93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D9558C" w:rsidRDefault="00D9558C" w:rsidP="00CC3221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956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043" w:type="dxa"/>
          </w:tcPr>
          <w:p w:rsidR="00D9558C" w:rsidRDefault="00D9558C" w:rsidP="00CC3221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</w:tr>
      <w:tr w:rsidR="00D9558C" w:rsidTr="00E80CD8">
        <w:trPr>
          <w:trHeight w:val="438"/>
        </w:trPr>
        <w:tc>
          <w:tcPr>
            <w:tcW w:w="4904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od pruženih usluga i prodaje proizvoda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(661)</w:t>
            </w:r>
          </w:p>
        </w:tc>
        <w:tc>
          <w:tcPr>
            <w:tcW w:w="723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762" w:type="dxa"/>
          </w:tcPr>
          <w:p w:rsidR="00D9558C" w:rsidRDefault="000573C3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2</w:t>
            </w:r>
            <w:r w:rsidR="00D955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D955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D9558C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D9558C" w:rsidRDefault="00D9558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1.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803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924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043" w:type="dxa"/>
          </w:tcPr>
          <w:p w:rsidR="00D9558C" w:rsidRDefault="00D9558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D9558C" w:rsidTr="00E80CD8">
        <w:tc>
          <w:tcPr>
            <w:tcW w:w="4904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po posebnim propisima i naknadama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(652)</w:t>
            </w:r>
          </w:p>
        </w:tc>
        <w:tc>
          <w:tcPr>
            <w:tcW w:w="723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762" w:type="dxa"/>
          </w:tcPr>
          <w:p w:rsidR="00D9558C" w:rsidRDefault="000573C3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4</w:t>
            </w:r>
            <w:r w:rsidR="00D955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  <w:r w:rsidR="00D955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>000,</w:t>
            </w:r>
            <w:r w:rsidR="00D9558C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62" w:type="dxa"/>
          </w:tcPr>
          <w:p w:rsidR="00D9558C" w:rsidRDefault="00D9558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835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176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043" w:type="dxa"/>
          </w:tcPr>
          <w:p w:rsidR="00D9558C" w:rsidRDefault="00D9558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>,8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D9558C" w:rsidTr="00E80CD8">
        <w:tc>
          <w:tcPr>
            <w:tcW w:w="4904" w:type="dxa"/>
          </w:tcPr>
          <w:p w:rsidR="00D9558C" w:rsidRDefault="006A4661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Prijenos između proračunskih korisnika istog proračuna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(639)</w:t>
            </w:r>
          </w:p>
        </w:tc>
        <w:tc>
          <w:tcPr>
            <w:tcW w:w="723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762" w:type="dxa"/>
          </w:tcPr>
          <w:p w:rsidR="00D9558C" w:rsidRDefault="00D9558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 xml:space="preserve">   785.43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D9558C" w:rsidRDefault="00D9558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594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558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043" w:type="dxa"/>
          </w:tcPr>
          <w:p w:rsidR="00D9558C" w:rsidRDefault="005227F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 xml:space="preserve"> 75,70</w:t>
            </w:r>
          </w:p>
        </w:tc>
      </w:tr>
      <w:tr w:rsidR="00D9558C" w:rsidTr="00E80CD8">
        <w:tc>
          <w:tcPr>
            <w:tcW w:w="4904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Tekuće i kapitalne pomoći od institucija i tijela EU</w:t>
            </w:r>
            <w:r w:rsidR="007300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(632)</w:t>
            </w:r>
          </w:p>
        </w:tc>
        <w:tc>
          <w:tcPr>
            <w:tcW w:w="723" w:type="dxa"/>
          </w:tcPr>
          <w:p w:rsidR="00D9558C" w:rsidRDefault="00D9558C" w:rsidP="00F778A1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762" w:type="dxa"/>
          </w:tcPr>
          <w:p w:rsidR="00D9558C" w:rsidRDefault="005227F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529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D9558C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62" w:type="dxa"/>
          </w:tcPr>
          <w:p w:rsidR="00D9558C" w:rsidRDefault="00D9558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390.908,34</w:t>
            </w:r>
          </w:p>
        </w:tc>
        <w:tc>
          <w:tcPr>
            <w:tcW w:w="1043" w:type="dxa"/>
          </w:tcPr>
          <w:p w:rsidR="00D9558C" w:rsidRDefault="00D9558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 xml:space="preserve"> 7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5227F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</w:tr>
      <w:tr w:rsidR="001D27C8" w:rsidTr="00E80CD8">
        <w:tc>
          <w:tcPr>
            <w:tcW w:w="4904" w:type="dxa"/>
          </w:tcPr>
          <w:p w:rsidR="001D27C8" w:rsidRDefault="00CC3221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Instrumenti </w:t>
            </w:r>
            <w:r w:rsidR="001D27C8">
              <w:rPr>
                <w:rFonts w:ascii="Times New Roman" w:hAnsi="Times New Roman"/>
                <w:bCs/>
                <w:sz w:val="24"/>
                <w:szCs w:val="24"/>
              </w:rPr>
              <w:t>EU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nove generacije (671)</w:t>
            </w:r>
          </w:p>
        </w:tc>
        <w:tc>
          <w:tcPr>
            <w:tcW w:w="723" w:type="dxa"/>
          </w:tcPr>
          <w:p w:rsidR="001D27C8" w:rsidRDefault="000573C3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762" w:type="dxa"/>
          </w:tcPr>
          <w:p w:rsidR="001D27C8" w:rsidRDefault="001D27C8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394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897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1D27C8" w:rsidRDefault="001D27C8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 xml:space="preserve">      654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364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043" w:type="dxa"/>
          </w:tcPr>
          <w:p w:rsidR="001D27C8" w:rsidRDefault="001D27C8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19,27</w:t>
            </w:r>
          </w:p>
        </w:tc>
      </w:tr>
      <w:tr w:rsidR="00D9558C" w:rsidTr="00E80CD8">
        <w:tc>
          <w:tcPr>
            <w:tcW w:w="4904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Donacije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(663)</w:t>
            </w:r>
          </w:p>
        </w:tc>
        <w:tc>
          <w:tcPr>
            <w:tcW w:w="723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5C078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D9558C" w:rsidRDefault="000573C3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117</w:t>
            </w:r>
            <w:r w:rsidR="00D955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  <w:r w:rsidR="00D9558C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D9558C" w:rsidRDefault="00D9558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 xml:space="preserve">        80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229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043" w:type="dxa"/>
          </w:tcPr>
          <w:p w:rsidR="00D9558C" w:rsidRDefault="005227F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 xml:space="preserve"> 68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</w:tr>
      <w:tr w:rsidR="00E80CD8" w:rsidTr="00E80CD8">
        <w:tc>
          <w:tcPr>
            <w:tcW w:w="4904" w:type="dxa"/>
          </w:tcPr>
          <w:p w:rsidR="00E80CD8" w:rsidRDefault="00E80CD8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Namjenski primitci od zaduživanja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(671)</w:t>
            </w:r>
          </w:p>
        </w:tc>
        <w:tc>
          <w:tcPr>
            <w:tcW w:w="723" w:type="dxa"/>
          </w:tcPr>
          <w:p w:rsidR="00E80CD8" w:rsidRDefault="00E80CD8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815</w:t>
            </w:r>
          </w:p>
        </w:tc>
        <w:tc>
          <w:tcPr>
            <w:tcW w:w="1762" w:type="dxa"/>
          </w:tcPr>
          <w:p w:rsidR="00E80CD8" w:rsidRDefault="000573C3" w:rsidP="005227FC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14.961.661,00</w:t>
            </w:r>
          </w:p>
        </w:tc>
        <w:tc>
          <w:tcPr>
            <w:tcW w:w="1762" w:type="dxa"/>
          </w:tcPr>
          <w:p w:rsidR="00E80CD8" w:rsidRDefault="000573C3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10</w:t>
            </w:r>
            <w:r w:rsidR="00E80C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550</w:t>
            </w:r>
            <w:r w:rsidR="00E80C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469</w:t>
            </w:r>
            <w:r w:rsidR="00E80CD8">
              <w:rPr>
                <w:rFonts w:ascii="Times New Roman" w:hAnsi="Times New Roman"/>
                <w:bCs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E80CD8" w:rsidRDefault="000573C3" w:rsidP="005227FC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70,52</w:t>
            </w:r>
          </w:p>
        </w:tc>
      </w:tr>
      <w:tr w:rsidR="00D9558C" w:rsidTr="00E80CD8">
        <w:tc>
          <w:tcPr>
            <w:tcW w:w="4904" w:type="dxa"/>
          </w:tcPr>
          <w:p w:rsidR="00D9558C" w:rsidRPr="00F778A1" w:rsidRDefault="00D9558C" w:rsidP="00BC2F25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>Prihodi od nefinancijske imovine</w:t>
            </w:r>
          </w:p>
        </w:tc>
        <w:tc>
          <w:tcPr>
            <w:tcW w:w="723" w:type="dxa"/>
          </w:tcPr>
          <w:p w:rsidR="00D9558C" w:rsidRPr="00F778A1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62" w:type="dxa"/>
          </w:tcPr>
          <w:p w:rsidR="00D9558C" w:rsidRPr="00F778A1" w:rsidRDefault="008774D2" w:rsidP="00BC2F25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     </w:t>
            </w:r>
            <w:r w:rsidR="00D9558C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</w:t>
            </w:r>
            <w:r w:rsidR="00D9558C"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>0,00</w:t>
            </w:r>
          </w:p>
        </w:tc>
        <w:tc>
          <w:tcPr>
            <w:tcW w:w="1762" w:type="dxa"/>
          </w:tcPr>
          <w:p w:rsidR="00D9558C" w:rsidRPr="00F778A1" w:rsidRDefault="00D9558C" w:rsidP="000573C3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</w:t>
            </w:r>
            <w:r w:rsidR="000573C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    0</w:t>
            </w:r>
            <w:r w:rsidR="005227FC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0573C3"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1043" w:type="dxa"/>
          </w:tcPr>
          <w:p w:rsidR="00D9558C" w:rsidRPr="00F778A1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D9558C" w:rsidTr="00E80CD8">
        <w:tc>
          <w:tcPr>
            <w:tcW w:w="4904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Prihodi od prodaje građevinskih objekata</w:t>
            </w:r>
          </w:p>
        </w:tc>
        <w:tc>
          <w:tcPr>
            <w:tcW w:w="723" w:type="dxa"/>
          </w:tcPr>
          <w:p w:rsidR="00D9558C" w:rsidRDefault="00917553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C078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D9558C" w:rsidRDefault="000573C3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="00D9558C"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1762" w:type="dxa"/>
          </w:tcPr>
          <w:p w:rsidR="00D9558C" w:rsidRDefault="005227FC" w:rsidP="000573C3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="000573C3">
              <w:rPr>
                <w:rFonts w:ascii="Times New Roman" w:hAnsi="Times New Roman"/>
                <w:bCs/>
                <w:sz w:val="24"/>
                <w:szCs w:val="24"/>
              </w:rPr>
              <w:t xml:space="preserve">      0,00</w:t>
            </w:r>
          </w:p>
        </w:tc>
        <w:tc>
          <w:tcPr>
            <w:tcW w:w="1043" w:type="dxa"/>
          </w:tcPr>
          <w:p w:rsidR="00D9558C" w:rsidRDefault="00D9558C" w:rsidP="00BC2F2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558C" w:rsidTr="00E80CD8">
        <w:tc>
          <w:tcPr>
            <w:tcW w:w="4904" w:type="dxa"/>
          </w:tcPr>
          <w:p w:rsidR="00D9558C" w:rsidRPr="00F778A1" w:rsidRDefault="00D9558C" w:rsidP="00BC2F25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/>
                <w:bCs/>
                <w:sz w:val="24"/>
                <w:szCs w:val="24"/>
              </w:rPr>
              <w:t>Ukupni prihodi</w:t>
            </w:r>
          </w:p>
        </w:tc>
        <w:tc>
          <w:tcPr>
            <w:tcW w:w="723" w:type="dxa"/>
          </w:tcPr>
          <w:p w:rsidR="00D9558C" w:rsidRPr="00F778A1" w:rsidRDefault="00D9558C" w:rsidP="00F778A1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2" w:type="dxa"/>
          </w:tcPr>
          <w:p w:rsidR="00D9558C" w:rsidRPr="00F778A1" w:rsidRDefault="000573C3" w:rsidP="000573C3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  <w:r w:rsidR="00D9558C" w:rsidRPr="00F778A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349</w:t>
            </w:r>
            <w:r w:rsidR="00D9558C" w:rsidRPr="00F778A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319</w:t>
            </w:r>
            <w:r w:rsidR="00D9558C" w:rsidRPr="00F778A1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D9558C" w:rsidRPr="00F778A1" w:rsidRDefault="00E80CD8" w:rsidP="000573C3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573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="000573C3">
              <w:rPr>
                <w:rFonts w:ascii="Times New Roman" w:hAnsi="Times New Roman"/>
                <w:b/>
                <w:bCs/>
                <w:sz w:val="24"/>
                <w:szCs w:val="24"/>
              </w:rPr>
              <w:t>866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0573C3">
              <w:rPr>
                <w:rFonts w:ascii="Times New Roman" w:hAnsi="Times New Roman"/>
                <w:b/>
                <w:bCs/>
                <w:sz w:val="24"/>
                <w:szCs w:val="24"/>
              </w:rPr>
              <w:t>369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0573C3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043" w:type="dxa"/>
          </w:tcPr>
          <w:p w:rsidR="00D9558C" w:rsidRPr="00F778A1" w:rsidRDefault="00D9558C" w:rsidP="000573C3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0573C3">
              <w:rPr>
                <w:rFonts w:ascii="Times New Roman" w:hAnsi="Times New Roman"/>
                <w:b/>
                <w:bCs/>
                <w:sz w:val="24"/>
                <w:szCs w:val="24"/>
              </w:rPr>
              <w:t>59,05</w:t>
            </w:r>
          </w:p>
        </w:tc>
      </w:tr>
    </w:tbl>
    <w:p w:rsidR="00D9558C" w:rsidRDefault="00D9558C" w:rsidP="00D9558C">
      <w:pPr>
        <w:pStyle w:val="Odlomakpopisa"/>
        <w:jc w:val="both"/>
        <w:rPr>
          <w:rFonts w:ascii="Times New Roman" w:hAnsi="Times New Roman"/>
          <w:bCs/>
          <w:sz w:val="24"/>
          <w:szCs w:val="24"/>
        </w:rPr>
      </w:pPr>
    </w:p>
    <w:p w:rsidR="004176D8" w:rsidRPr="004176D8" w:rsidRDefault="004176D8" w:rsidP="004176D8">
      <w:pPr>
        <w:pStyle w:val="Odlomakpopisa"/>
        <w:rPr>
          <w:rFonts w:ascii="Times New Roman" w:hAnsi="Times New Roman"/>
          <w:bCs/>
          <w:sz w:val="24"/>
          <w:szCs w:val="24"/>
        </w:rPr>
      </w:pPr>
    </w:p>
    <w:p w:rsidR="006F160A" w:rsidRDefault="00917553" w:rsidP="000309CD">
      <w:pPr>
        <w:spacing w:line="259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17553">
        <w:rPr>
          <w:rFonts w:ascii="Times New Roman" w:hAnsi="Times New Roman"/>
          <w:bCs/>
          <w:sz w:val="24"/>
          <w:szCs w:val="24"/>
        </w:rPr>
        <w:t xml:space="preserve">Prihodi </w:t>
      </w:r>
      <w:r w:rsidR="006F160A">
        <w:rPr>
          <w:rFonts w:ascii="Times New Roman" w:hAnsi="Times New Roman"/>
          <w:bCs/>
          <w:sz w:val="24"/>
          <w:szCs w:val="24"/>
        </w:rPr>
        <w:t>poslovanja sadrže prihode iz nadležnog proračuna, prihode od vlastitih usluga i prodane robe, prihode po posebnim propisima, pomoći od inozemnih vlada i subjekata unutar istog proračuna, pomoći od institucija i tijela EU</w:t>
      </w:r>
      <w:r w:rsidR="0059000D">
        <w:rPr>
          <w:rFonts w:ascii="Times New Roman" w:hAnsi="Times New Roman"/>
          <w:bCs/>
          <w:sz w:val="24"/>
          <w:szCs w:val="24"/>
        </w:rPr>
        <w:t>, namjenski primitci od zaduživanja</w:t>
      </w:r>
      <w:r w:rsidR="006F160A">
        <w:rPr>
          <w:rFonts w:ascii="Times New Roman" w:hAnsi="Times New Roman"/>
          <w:bCs/>
          <w:sz w:val="24"/>
          <w:szCs w:val="24"/>
        </w:rPr>
        <w:t xml:space="preserve"> i donacije.</w:t>
      </w:r>
    </w:p>
    <w:p w:rsidR="00607544" w:rsidRDefault="00DE01E1" w:rsidP="000309CD">
      <w:pPr>
        <w:spacing w:line="259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Ukupni prihodi poslovanja </w:t>
      </w:r>
      <w:r w:rsidR="006F160A">
        <w:rPr>
          <w:rFonts w:ascii="Times New Roman" w:hAnsi="Times New Roman"/>
          <w:bCs/>
          <w:sz w:val="24"/>
          <w:szCs w:val="24"/>
        </w:rPr>
        <w:t>ostvareni</w:t>
      </w:r>
      <w:r>
        <w:rPr>
          <w:rFonts w:ascii="Times New Roman" w:hAnsi="Times New Roman"/>
          <w:bCs/>
          <w:sz w:val="24"/>
          <w:szCs w:val="24"/>
        </w:rPr>
        <w:t xml:space="preserve"> su</w:t>
      </w:r>
      <w:r w:rsidR="006F160A">
        <w:rPr>
          <w:rFonts w:ascii="Times New Roman" w:hAnsi="Times New Roman"/>
          <w:bCs/>
          <w:sz w:val="24"/>
          <w:szCs w:val="24"/>
        </w:rPr>
        <w:t xml:space="preserve"> u postotku </w:t>
      </w:r>
      <w:r w:rsidR="008774D2">
        <w:rPr>
          <w:rFonts w:ascii="Times New Roman" w:hAnsi="Times New Roman"/>
          <w:bCs/>
          <w:sz w:val="24"/>
          <w:szCs w:val="24"/>
        </w:rPr>
        <w:t>59,05</w:t>
      </w:r>
      <w:r w:rsidR="006F160A">
        <w:rPr>
          <w:rFonts w:ascii="Times New Roman" w:hAnsi="Times New Roman"/>
          <w:bCs/>
          <w:sz w:val="24"/>
          <w:szCs w:val="24"/>
        </w:rPr>
        <w:t xml:space="preserve"> posto u odnosu na planirane. </w:t>
      </w:r>
    </w:p>
    <w:p w:rsidR="00A86843" w:rsidRDefault="006F160A" w:rsidP="0060754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Najveće odstupanje</w:t>
      </w:r>
      <w:r w:rsidR="002F27E1">
        <w:rPr>
          <w:rFonts w:ascii="Times New Roman" w:hAnsi="Times New Roman"/>
          <w:bCs/>
          <w:sz w:val="24"/>
          <w:szCs w:val="24"/>
        </w:rPr>
        <w:t xml:space="preserve"> 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F27E1">
        <w:rPr>
          <w:rFonts w:ascii="Times New Roman" w:hAnsi="Times New Roman"/>
          <w:bCs/>
          <w:sz w:val="24"/>
          <w:szCs w:val="24"/>
        </w:rPr>
        <w:t xml:space="preserve">kod prihoda </w:t>
      </w:r>
      <w:r w:rsidR="000250F6">
        <w:rPr>
          <w:rFonts w:ascii="Times New Roman" w:hAnsi="Times New Roman"/>
          <w:bCs/>
          <w:sz w:val="24"/>
          <w:szCs w:val="24"/>
        </w:rPr>
        <w:t>Prijenos između proračunskih korisnika istog proračuna</w:t>
      </w:r>
      <w:r w:rsidR="00607544">
        <w:rPr>
          <w:rFonts w:ascii="Times New Roman" w:hAnsi="Times New Roman"/>
          <w:bCs/>
          <w:sz w:val="24"/>
          <w:szCs w:val="24"/>
        </w:rPr>
        <w:t xml:space="preserve"> izvor 52</w:t>
      </w:r>
      <w:r w:rsidR="00A86843">
        <w:rPr>
          <w:rFonts w:ascii="Times New Roman" w:hAnsi="Times New Roman"/>
          <w:bCs/>
          <w:sz w:val="24"/>
          <w:szCs w:val="24"/>
        </w:rPr>
        <w:t>. Budući da se na kont</w:t>
      </w:r>
      <w:r w:rsidR="00D07B58">
        <w:rPr>
          <w:rFonts w:ascii="Times New Roman" w:hAnsi="Times New Roman"/>
          <w:bCs/>
          <w:sz w:val="24"/>
          <w:szCs w:val="24"/>
        </w:rPr>
        <w:t>u</w:t>
      </w:r>
      <w:r w:rsidR="00A86843">
        <w:rPr>
          <w:rFonts w:ascii="Times New Roman" w:hAnsi="Times New Roman"/>
          <w:bCs/>
          <w:sz w:val="24"/>
          <w:szCs w:val="24"/>
        </w:rPr>
        <w:t xml:space="preserve"> 639 </w:t>
      </w:r>
      <w:r w:rsidR="00607544">
        <w:rPr>
          <w:rFonts w:ascii="Times New Roman" w:hAnsi="Times New Roman"/>
          <w:bCs/>
          <w:sz w:val="24"/>
          <w:szCs w:val="24"/>
        </w:rPr>
        <w:t xml:space="preserve">mogu </w:t>
      </w:r>
      <w:r w:rsidR="00A86843">
        <w:rPr>
          <w:rFonts w:ascii="Times New Roman" w:hAnsi="Times New Roman"/>
          <w:bCs/>
          <w:sz w:val="24"/>
          <w:szCs w:val="24"/>
        </w:rPr>
        <w:t>planira</w:t>
      </w:r>
      <w:r w:rsidR="00607544">
        <w:rPr>
          <w:rFonts w:ascii="Times New Roman" w:hAnsi="Times New Roman"/>
          <w:bCs/>
          <w:sz w:val="24"/>
          <w:szCs w:val="24"/>
        </w:rPr>
        <w:t>ti</w:t>
      </w:r>
      <w:r w:rsidR="00A86843">
        <w:rPr>
          <w:rFonts w:ascii="Times New Roman" w:hAnsi="Times New Roman"/>
          <w:bCs/>
          <w:sz w:val="24"/>
          <w:szCs w:val="24"/>
        </w:rPr>
        <w:t xml:space="preserve"> samo prihodi koji su nam kod izrade plana dostavljeni</w:t>
      </w:r>
      <w:r w:rsidR="00607544">
        <w:rPr>
          <w:rFonts w:ascii="Times New Roman" w:hAnsi="Times New Roman"/>
          <w:bCs/>
          <w:sz w:val="24"/>
          <w:szCs w:val="24"/>
        </w:rPr>
        <w:t xml:space="preserve"> od proračuna koji nam spušta novce,</w:t>
      </w:r>
      <w:r w:rsidR="00A86843">
        <w:rPr>
          <w:rFonts w:ascii="Times New Roman" w:hAnsi="Times New Roman"/>
          <w:bCs/>
          <w:sz w:val="24"/>
          <w:szCs w:val="24"/>
        </w:rPr>
        <w:t xml:space="preserve"> dolazi do odstupanja jer nisu p</w:t>
      </w:r>
      <w:r w:rsidR="00D07B58">
        <w:rPr>
          <w:rFonts w:ascii="Times New Roman" w:hAnsi="Times New Roman"/>
          <w:bCs/>
          <w:sz w:val="24"/>
          <w:szCs w:val="24"/>
        </w:rPr>
        <w:t xml:space="preserve">lanirane </w:t>
      </w:r>
      <w:proofErr w:type="spellStart"/>
      <w:r w:rsidR="00D07B58">
        <w:rPr>
          <w:rFonts w:ascii="Times New Roman" w:hAnsi="Times New Roman"/>
          <w:bCs/>
          <w:sz w:val="24"/>
          <w:szCs w:val="24"/>
        </w:rPr>
        <w:t>E</w:t>
      </w:r>
      <w:r w:rsidR="00A86843">
        <w:rPr>
          <w:rFonts w:ascii="Times New Roman" w:hAnsi="Times New Roman"/>
          <w:bCs/>
          <w:sz w:val="24"/>
          <w:szCs w:val="24"/>
        </w:rPr>
        <w:t>rasmus</w:t>
      </w:r>
      <w:proofErr w:type="spellEnd"/>
      <w:r w:rsidR="00D07B58">
        <w:rPr>
          <w:rFonts w:ascii="Times New Roman" w:hAnsi="Times New Roman"/>
          <w:bCs/>
          <w:sz w:val="24"/>
          <w:szCs w:val="24"/>
        </w:rPr>
        <w:t>+</w:t>
      </w:r>
      <w:r w:rsidR="00A86843">
        <w:rPr>
          <w:rFonts w:ascii="Times New Roman" w:hAnsi="Times New Roman"/>
          <w:bCs/>
          <w:sz w:val="24"/>
          <w:szCs w:val="24"/>
        </w:rPr>
        <w:t xml:space="preserve"> mobilnosti  koje nam spušta Sveučilište u Zagrebu i mjere jednokatnih potpora ko</w:t>
      </w:r>
      <w:r w:rsidR="00D07B58">
        <w:rPr>
          <w:rFonts w:ascii="Times New Roman" w:hAnsi="Times New Roman"/>
          <w:bCs/>
          <w:sz w:val="24"/>
          <w:szCs w:val="24"/>
        </w:rPr>
        <w:t>je nam spušta nadležno ministar</w:t>
      </w:r>
      <w:r w:rsidR="00A86843">
        <w:rPr>
          <w:rFonts w:ascii="Times New Roman" w:hAnsi="Times New Roman"/>
          <w:bCs/>
          <w:sz w:val="24"/>
          <w:szCs w:val="24"/>
        </w:rPr>
        <w:t>s</w:t>
      </w:r>
      <w:r w:rsidR="00D07B58">
        <w:rPr>
          <w:rFonts w:ascii="Times New Roman" w:hAnsi="Times New Roman"/>
          <w:bCs/>
          <w:sz w:val="24"/>
          <w:szCs w:val="24"/>
        </w:rPr>
        <w:t>t</w:t>
      </w:r>
      <w:r w:rsidR="00A86843">
        <w:rPr>
          <w:rFonts w:ascii="Times New Roman" w:hAnsi="Times New Roman"/>
          <w:bCs/>
          <w:sz w:val="24"/>
          <w:szCs w:val="24"/>
        </w:rPr>
        <w:t>vo po završetku natječaja.</w:t>
      </w:r>
    </w:p>
    <w:p w:rsidR="00A86843" w:rsidRPr="002A25EE" w:rsidRDefault="00A86843" w:rsidP="00A86843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11 Opći prihodi i primici – </w:t>
      </w:r>
      <w:r w:rsidRPr="002A25EE">
        <w:rPr>
          <w:rFonts w:ascii="Times New Roman" w:hAnsi="Times New Roman"/>
          <w:bCs/>
          <w:sz w:val="24"/>
          <w:szCs w:val="24"/>
        </w:rPr>
        <w:t xml:space="preserve">Prihodi iz nadležnog proračuna za financiranje rashoda poslovanja </w:t>
      </w:r>
      <w:r>
        <w:rPr>
          <w:rFonts w:ascii="Times New Roman" w:hAnsi="Times New Roman"/>
          <w:bCs/>
          <w:sz w:val="24"/>
          <w:szCs w:val="24"/>
        </w:rPr>
        <w:t>izvršeni su 61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83</w:t>
      </w:r>
      <w:r w:rsidRPr="002A25EE">
        <w:rPr>
          <w:rFonts w:ascii="Times New Roman" w:hAnsi="Times New Roman"/>
          <w:bCs/>
          <w:sz w:val="24"/>
          <w:szCs w:val="24"/>
        </w:rPr>
        <w:t xml:space="preserve">% od ukupnog godišnjeg plana. </w:t>
      </w:r>
      <w:r>
        <w:rPr>
          <w:rFonts w:ascii="Times New Roman" w:hAnsi="Times New Roman"/>
          <w:bCs/>
          <w:sz w:val="24"/>
          <w:szCs w:val="24"/>
        </w:rPr>
        <w:t>Sastoji se od prihoda: plaće i materijalna</w:t>
      </w:r>
      <w:r w:rsidRPr="002A25EE">
        <w:rPr>
          <w:rFonts w:ascii="Times New Roman" w:hAnsi="Times New Roman"/>
          <w:bCs/>
          <w:sz w:val="24"/>
          <w:szCs w:val="24"/>
        </w:rPr>
        <w:t xml:space="preserve"> prava zaposlenika, sredstva za studentske programe iz državnog proračuna za aktivnosti redovne djelatnosti, te sredstva za financiranje nastavne i znanstvene djelatnosti temeljem aktivnosti Programskog financiranja javnih visokih učilišta. </w:t>
      </w:r>
      <w:r>
        <w:rPr>
          <w:rFonts w:ascii="Times New Roman" w:hAnsi="Times New Roman"/>
          <w:bCs/>
          <w:sz w:val="24"/>
          <w:szCs w:val="24"/>
        </w:rPr>
        <w:t>Izvršenje plana iznad 50% odnosi</w:t>
      </w:r>
      <w:r w:rsidRPr="002A25EE">
        <w:rPr>
          <w:rFonts w:ascii="Times New Roman" w:hAnsi="Times New Roman"/>
          <w:bCs/>
          <w:sz w:val="24"/>
          <w:szCs w:val="24"/>
        </w:rPr>
        <w:t xml:space="preserve"> se na povećanje za plaće temeljem Uredbe o nazivima radnih mjesta, uvjetima za raspored i koeficijentima za </w:t>
      </w:r>
      <w:r>
        <w:rPr>
          <w:rFonts w:ascii="Times New Roman" w:hAnsi="Times New Roman"/>
          <w:bCs/>
          <w:sz w:val="24"/>
          <w:szCs w:val="24"/>
        </w:rPr>
        <w:t>obračun plaće u javnim službama.</w:t>
      </w:r>
      <w:r w:rsidRPr="00AE4B2C">
        <w:rPr>
          <w:rFonts w:ascii="Times New Roman" w:hAnsi="Times New Roman"/>
          <w:bCs/>
          <w:sz w:val="24"/>
          <w:szCs w:val="24"/>
        </w:rPr>
        <w:t xml:space="preserve"> </w:t>
      </w:r>
    </w:p>
    <w:p w:rsidR="00A86843" w:rsidRPr="00352D66" w:rsidRDefault="00A86843" w:rsidP="00A86843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</w:rPr>
        <w:t>Na izvoru 31 Vlastiti priho</w:t>
      </w:r>
      <w:r>
        <w:rPr>
          <w:rFonts w:ascii="Times New Roman" w:hAnsi="Times New Roman"/>
          <w:bCs/>
          <w:sz w:val="24"/>
          <w:szCs w:val="24"/>
        </w:rPr>
        <w:t>di izvršenje u odnosu na plan 62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%</w:t>
      </w:r>
      <w:r w:rsidR="00607544">
        <w:rPr>
          <w:rFonts w:ascii="Times New Roman" w:hAnsi="Times New Roman"/>
          <w:bCs/>
          <w:sz w:val="24"/>
          <w:szCs w:val="24"/>
        </w:rPr>
        <w:t xml:space="preserve"> zbog urednije naplate potraživanja</w:t>
      </w:r>
      <w:r>
        <w:rPr>
          <w:rFonts w:ascii="Times New Roman" w:hAnsi="Times New Roman"/>
          <w:bCs/>
          <w:sz w:val="24"/>
          <w:szCs w:val="24"/>
        </w:rPr>
        <w:t xml:space="preserve">, a </w:t>
      </w:r>
      <w:r w:rsidRPr="00352D66">
        <w:rPr>
          <w:rFonts w:ascii="Times New Roman" w:hAnsi="Times New Roman"/>
          <w:bCs/>
          <w:sz w:val="24"/>
          <w:szCs w:val="24"/>
        </w:rPr>
        <w:t>u odnosu na prošlu godinu manje</w:t>
      </w:r>
      <w:r>
        <w:rPr>
          <w:rFonts w:ascii="Times New Roman" w:hAnsi="Times New Roman"/>
          <w:bCs/>
          <w:sz w:val="24"/>
          <w:szCs w:val="24"/>
        </w:rPr>
        <w:t xml:space="preserve"> su</w:t>
      </w:r>
      <w:r w:rsidRPr="00352D66">
        <w:rPr>
          <w:rFonts w:ascii="Times New Roman" w:hAnsi="Times New Roman"/>
          <w:bCs/>
          <w:sz w:val="24"/>
          <w:szCs w:val="24"/>
        </w:rPr>
        <w:t xml:space="preserve"> izvršeni jer se stupanjem na snagu </w:t>
      </w:r>
      <w:r w:rsidRPr="00352D66">
        <w:rPr>
          <w:rFonts w:ascii="Times New Roman" w:hAnsi="Times New Roman"/>
          <w:bCs/>
          <w:iCs/>
          <w:sz w:val="24"/>
          <w:szCs w:val="24"/>
        </w:rPr>
        <w:t>Pravilnika o mjerilima i načinu korištenja nenamjenskih donacija i vlastitih prihoda proračunskih korisnika iz nadležnosti Ministarstva znanosti, obrazovanja i mladih (NN 79/24) </w:t>
      </w:r>
      <w:r w:rsidRPr="00352D66">
        <w:rPr>
          <w:rFonts w:ascii="Times New Roman" w:hAnsi="Times New Roman"/>
          <w:bCs/>
          <w:sz w:val="24"/>
          <w:szCs w:val="24"/>
        </w:rPr>
        <w:t>i </w:t>
      </w:r>
      <w:r w:rsidRPr="00352D66">
        <w:rPr>
          <w:rFonts w:ascii="Times New Roman" w:hAnsi="Times New Roman"/>
          <w:bCs/>
          <w:iCs/>
          <w:sz w:val="24"/>
          <w:szCs w:val="24"/>
        </w:rPr>
        <w:t>Pravilnika o mjerilima i načinu korištenja namjenskih prihoda proračunskih korisnika iz nadležnosti Ministarstva znanosti, obrazovanja i mladih (NN 79/24)</w:t>
      </w:r>
      <w:r w:rsidRPr="00352D66">
        <w:rPr>
          <w:rFonts w:ascii="Times New Roman" w:hAnsi="Times New Roman"/>
          <w:bCs/>
          <w:sz w:val="24"/>
          <w:szCs w:val="24"/>
        </w:rPr>
        <w:t xml:space="preserve">, školarine studenata i druge naknade polaznika svih obrazovnih programa klasificiraju u izvor 43 – ostali prihodi za posebne namjene. </w:t>
      </w:r>
    </w:p>
    <w:p w:rsidR="00A86843" w:rsidRDefault="00A86843" w:rsidP="00A86843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43 Prihodi za posebne namjene</w:t>
      </w:r>
      <w:r w:rsidR="00DF4D31">
        <w:rPr>
          <w:rFonts w:ascii="Times New Roman" w:hAnsi="Times New Roman"/>
          <w:bCs/>
          <w:sz w:val="24"/>
          <w:szCs w:val="24"/>
        </w:rPr>
        <w:t>, prihode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11262">
        <w:rPr>
          <w:rFonts w:ascii="Times New Roman" w:hAnsi="Times New Roman"/>
          <w:bCs/>
          <w:sz w:val="24"/>
          <w:szCs w:val="24"/>
        </w:rPr>
        <w:t>čine u najvećem opsegu prihodi od školarina koji se uplaćuju tijekom up</w:t>
      </w:r>
      <w:r>
        <w:rPr>
          <w:rFonts w:ascii="Times New Roman" w:hAnsi="Times New Roman"/>
          <w:bCs/>
          <w:sz w:val="24"/>
          <w:szCs w:val="24"/>
        </w:rPr>
        <w:t>isa u novu akademsku godinu 2025</w:t>
      </w:r>
      <w:r w:rsidRPr="00411262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/2026</w:t>
      </w:r>
      <w:r w:rsidRPr="00411262">
        <w:rPr>
          <w:rFonts w:ascii="Times New Roman" w:hAnsi="Times New Roman"/>
          <w:bCs/>
          <w:sz w:val="24"/>
          <w:szCs w:val="24"/>
        </w:rPr>
        <w:t>. Iz razloga što se većina tih prihoda ostvaruje u drugom polugodištu reali</w:t>
      </w:r>
      <w:r w:rsidR="00607544">
        <w:rPr>
          <w:rFonts w:ascii="Times New Roman" w:hAnsi="Times New Roman"/>
          <w:bCs/>
          <w:sz w:val="24"/>
          <w:szCs w:val="24"/>
        </w:rPr>
        <w:t>zacija ovih prihoda iznosi 20</w:t>
      </w:r>
      <w:r>
        <w:rPr>
          <w:rFonts w:ascii="Times New Roman" w:hAnsi="Times New Roman"/>
          <w:bCs/>
          <w:sz w:val="24"/>
          <w:szCs w:val="24"/>
        </w:rPr>
        <w:t>,</w:t>
      </w:r>
      <w:r w:rsidR="00607544">
        <w:rPr>
          <w:rFonts w:ascii="Times New Roman" w:hAnsi="Times New Roman"/>
          <w:bCs/>
          <w:sz w:val="24"/>
          <w:szCs w:val="24"/>
        </w:rPr>
        <w:t>88</w:t>
      </w:r>
      <w:r w:rsidRPr="00411262">
        <w:rPr>
          <w:rFonts w:ascii="Times New Roman" w:hAnsi="Times New Roman"/>
          <w:bCs/>
          <w:sz w:val="24"/>
          <w:szCs w:val="24"/>
        </w:rPr>
        <w:t>% ukupnog godišnjeg plana.</w:t>
      </w:r>
      <w:r w:rsidR="00607544">
        <w:rPr>
          <w:rFonts w:ascii="Times New Roman" w:hAnsi="Times New Roman"/>
          <w:bCs/>
          <w:sz w:val="24"/>
          <w:szCs w:val="24"/>
        </w:rPr>
        <w:t xml:space="preserve"> U odnosu na izvršenje iz 2024. prihodi su veći za 34,21% jer se prihodi od svih školarina od ove godine evidentiraju na izvoru 43.</w:t>
      </w:r>
    </w:p>
    <w:p w:rsidR="00607544" w:rsidRDefault="008C172F" w:rsidP="0060754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5</w:t>
      </w:r>
      <w:r w:rsidR="00DF4D31">
        <w:rPr>
          <w:rFonts w:ascii="Times New Roman" w:hAnsi="Times New Roman"/>
          <w:bCs/>
          <w:sz w:val="24"/>
          <w:szCs w:val="24"/>
        </w:rPr>
        <w:t>1 značajno odstupanje zbog novih</w:t>
      </w:r>
      <w:r>
        <w:rPr>
          <w:rFonts w:ascii="Times New Roman" w:hAnsi="Times New Roman"/>
          <w:bCs/>
          <w:sz w:val="24"/>
          <w:szCs w:val="24"/>
        </w:rPr>
        <w:t xml:space="preserve"> projek</w:t>
      </w:r>
      <w:r w:rsidR="00DF4D31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ta </w:t>
      </w:r>
      <w:proofErr w:type="spellStart"/>
      <w:r w:rsidR="00196FFB">
        <w:rPr>
          <w:rFonts w:ascii="Times New Roman" w:hAnsi="Times New Roman"/>
          <w:bCs/>
          <w:sz w:val="24"/>
          <w:szCs w:val="24"/>
        </w:rPr>
        <w:t>Transcenxr</w:t>
      </w:r>
      <w:proofErr w:type="spellEnd"/>
      <w:r w:rsidR="00196FFB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="00196FFB">
        <w:rPr>
          <w:rFonts w:ascii="Times New Roman" w:hAnsi="Times New Roman"/>
          <w:bCs/>
          <w:sz w:val="24"/>
          <w:szCs w:val="24"/>
        </w:rPr>
        <w:t>Transforming</w:t>
      </w:r>
      <w:proofErr w:type="spellEnd"/>
      <w:r w:rsidR="00196FF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196FFB">
        <w:rPr>
          <w:rFonts w:ascii="Times New Roman" w:hAnsi="Times New Roman"/>
          <w:bCs/>
          <w:sz w:val="24"/>
          <w:szCs w:val="24"/>
        </w:rPr>
        <w:t>endometriosis</w:t>
      </w:r>
      <w:proofErr w:type="spellEnd"/>
      <w:r w:rsidR="00196FFB">
        <w:rPr>
          <w:rFonts w:ascii="Times New Roman" w:hAnsi="Times New Roman"/>
          <w:bCs/>
          <w:sz w:val="24"/>
          <w:szCs w:val="24"/>
        </w:rPr>
        <w:t xml:space="preserve"> care </w:t>
      </w:r>
      <w:proofErr w:type="spellStart"/>
      <w:r w:rsidR="00196FFB">
        <w:rPr>
          <w:rFonts w:ascii="Times New Roman" w:hAnsi="Times New Roman"/>
          <w:bCs/>
          <w:sz w:val="24"/>
          <w:szCs w:val="24"/>
        </w:rPr>
        <w:t>in</w:t>
      </w:r>
      <w:proofErr w:type="spellEnd"/>
      <w:r w:rsidR="00196FFB">
        <w:rPr>
          <w:rFonts w:ascii="Times New Roman" w:hAnsi="Times New Roman"/>
          <w:bCs/>
          <w:sz w:val="24"/>
          <w:szCs w:val="24"/>
        </w:rPr>
        <w:t xml:space="preserve"> Europe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196FFB" w:rsidRDefault="00196FFB" w:rsidP="0060754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58 prihodi se ostvaruju po priznatim ZNS-ovima odnosno po dinamici izvršenja projektnih </w:t>
      </w:r>
      <w:r w:rsidR="00DF4D31">
        <w:rPr>
          <w:rFonts w:ascii="Times New Roman" w:hAnsi="Times New Roman"/>
          <w:bCs/>
          <w:sz w:val="24"/>
          <w:szCs w:val="24"/>
        </w:rPr>
        <w:t>plan</w:t>
      </w:r>
      <w:r>
        <w:rPr>
          <w:rFonts w:ascii="Times New Roman" w:hAnsi="Times New Roman"/>
          <w:bCs/>
          <w:sz w:val="24"/>
          <w:szCs w:val="24"/>
        </w:rPr>
        <w:t>ova.</w:t>
      </w:r>
    </w:p>
    <w:p w:rsidR="006F160A" w:rsidRDefault="00196FFB" w:rsidP="0060754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61 Donacije</w:t>
      </w:r>
      <w:r w:rsidR="00DF4D31">
        <w:rPr>
          <w:rFonts w:ascii="Times New Roman" w:hAnsi="Times New Roman"/>
          <w:bCs/>
          <w:sz w:val="24"/>
          <w:szCs w:val="24"/>
        </w:rPr>
        <w:t>,</w:t>
      </w:r>
      <w:r w:rsidRPr="00D662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 odnosu na plan izvršeno 68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>57</w:t>
      </w:r>
      <w:r>
        <w:rPr>
          <w:rFonts w:ascii="Times New Roman" w:hAnsi="Times New Roman"/>
          <w:bCs/>
          <w:sz w:val="24"/>
          <w:szCs w:val="24"/>
        </w:rPr>
        <w:t xml:space="preserve">%, </w:t>
      </w:r>
      <w:r w:rsidR="00DF4D31">
        <w:rPr>
          <w:rFonts w:ascii="Times New Roman" w:hAnsi="Times New Roman"/>
          <w:bCs/>
          <w:sz w:val="24"/>
          <w:szCs w:val="24"/>
        </w:rPr>
        <w:t xml:space="preserve">donacije su </w:t>
      </w:r>
      <w:r w:rsidRPr="00D662B8">
        <w:rPr>
          <w:rFonts w:ascii="Times New Roman" w:hAnsi="Times New Roman"/>
          <w:bCs/>
          <w:sz w:val="24"/>
          <w:szCs w:val="24"/>
        </w:rPr>
        <w:t>d</w:t>
      </w:r>
      <w:r w:rsidR="00DF4D31">
        <w:rPr>
          <w:rFonts w:ascii="Times New Roman" w:hAnsi="Times New Roman"/>
          <w:bCs/>
          <w:sz w:val="24"/>
          <w:szCs w:val="24"/>
        </w:rPr>
        <w:t xml:space="preserve">obivene </w:t>
      </w:r>
      <w:r w:rsidRPr="00D662B8">
        <w:rPr>
          <w:rFonts w:ascii="Times New Roman" w:hAnsi="Times New Roman"/>
          <w:bCs/>
          <w:sz w:val="24"/>
          <w:szCs w:val="24"/>
        </w:rPr>
        <w:t xml:space="preserve">od </w:t>
      </w:r>
      <w:r>
        <w:rPr>
          <w:rFonts w:ascii="Times New Roman" w:hAnsi="Times New Roman"/>
          <w:bCs/>
          <w:sz w:val="24"/>
          <w:szCs w:val="24"/>
        </w:rPr>
        <w:t>neprofitnih organizacija i trgovačkih društava</w:t>
      </w:r>
      <w:r w:rsidRPr="00D662B8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Donacije se najvećim dijelom odnose na </w:t>
      </w:r>
      <w:r>
        <w:rPr>
          <w:rFonts w:ascii="Times New Roman" w:hAnsi="Times New Roman"/>
          <w:bCs/>
          <w:sz w:val="24"/>
          <w:szCs w:val="24"/>
        </w:rPr>
        <w:t xml:space="preserve">organizaciju </w:t>
      </w:r>
      <w:r>
        <w:rPr>
          <w:rFonts w:ascii="Times New Roman" w:hAnsi="Times New Roman"/>
          <w:bCs/>
          <w:sz w:val="24"/>
          <w:szCs w:val="24"/>
        </w:rPr>
        <w:t>stručnih tečajeva cjeloživotnog obrazovanja te provedbu</w:t>
      </w:r>
      <w:r>
        <w:rPr>
          <w:rFonts w:ascii="Times New Roman" w:hAnsi="Times New Roman"/>
          <w:bCs/>
          <w:sz w:val="24"/>
          <w:szCs w:val="24"/>
        </w:rPr>
        <w:t xml:space="preserve"> studentskih programa</w:t>
      </w:r>
      <w:r w:rsidRPr="00D662B8">
        <w:rPr>
          <w:rFonts w:ascii="Times New Roman" w:hAnsi="Times New Roman"/>
          <w:bCs/>
          <w:sz w:val="24"/>
          <w:szCs w:val="24"/>
        </w:rPr>
        <w:t xml:space="preserve"> i radionica</w:t>
      </w:r>
      <w:r w:rsidR="008C172F">
        <w:rPr>
          <w:rFonts w:ascii="Times New Roman" w:hAnsi="Times New Roman"/>
          <w:bCs/>
          <w:sz w:val="24"/>
          <w:szCs w:val="24"/>
        </w:rPr>
        <w:t xml:space="preserve">. </w:t>
      </w:r>
    </w:p>
    <w:p w:rsidR="005C0785" w:rsidRDefault="005C0785" w:rsidP="000309CD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16FA3" w:rsidRDefault="00B16FA3" w:rsidP="000309CD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C0785" w:rsidRDefault="005C0785" w:rsidP="000309CD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0785">
        <w:rPr>
          <w:rFonts w:ascii="Times New Roman" w:hAnsi="Times New Roman"/>
          <w:b/>
          <w:bCs/>
          <w:sz w:val="24"/>
          <w:szCs w:val="24"/>
        </w:rPr>
        <w:t>RASHODI I IZDACI</w:t>
      </w:r>
    </w:p>
    <w:p w:rsidR="00CF653A" w:rsidRDefault="00CF653A" w:rsidP="000309CD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0785" w:rsidRDefault="005D6DF6" w:rsidP="000309CD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Ukupni rashodi za 202</w:t>
      </w:r>
      <w:r w:rsidR="00196FFB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godinu planirani su u iznosu </w:t>
      </w:r>
      <w:r w:rsidR="00196FFB">
        <w:rPr>
          <w:rFonts w:ascii="Times New Roman" w:hAnsi="Times New Roman"/>
          <w:bCs/>
          <w:sz w:val="24"/>
          <w:szCs w:val="24"/>
        </w:rPr>
        <w:t>57</w:t>
      </w:r>
      <w:r>
        <w:rPr>
          <w:rFonts w:ascii="Times New Roman" w:hAnsi="Times New Roman"/>
          <w:bCs/>
          <w:sz w:val="24"/>
          <w:szCs w:val="24"/>
        </w:rPr>
        <w:t>.</w:t>
      </w:r>
      <w:r w:rsidR="00196FFB">
        <w:rPr>
          <w:rFonts w:ascii="Times New Roman" w:hAnsi="Times New Roman"/>
          <w:bCs/>
          <w:sz w:val="24"/>
          <w:szCs w:val="24"/>
        </w:rPr>
        <w:t>484</w:t>
      </w:r>
      <w:r>
        <w:rPr>
          <w:rFonts w:ascii="Times New Roman" w:hAnsi="Times New Roman"/>
          <w:bCs/>
          <w:sz w:val="24"/>
          <w:szCs w:val="24"/>
        </w:rPr>
        <w:t>.</w:t>
      </w:r>
      <w:r w:rsidR="00196FFB">
        <w:rPr>
          <w:rFonts w:ascii="Times New Roman" w:hAnsi="Times New Roman"/>
          <w:bCs/>
          <w:sz w:val="24"/>
          <w:szCs w:val="24"/>
        </w:rPr>
        <w:t>770</w:t>
      </w:r>
      <w:r>
        <w:rPr>
          <w:rFonts w:ascii="Times New Roman" w:hAnsi="Times New Roman"/>
          <w:bCs/>
          <w:sz w:val="24"/>
          <w:szCs w:val="24"/>
        </w:rPr>
        <w:t>,00 eura, a ostvareni su u razdoblju siječanj – lipanj 202</w:t>
      </w:r>
      <w:r w:rsidR="00196FFB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 god</w:t>
      </w:r>
      <w:r w:rsidR="00196FFB">
        <w:rPr>
          <w:rFonts w:ascii="Times New Roman" w:hAnsi="Times New Roman"/>
          <w:bCs/>
          <w:sz w:val="24"/>
          <w:szCs w:val="24"/>
        </w:rPr>
        <w:t>ine u iznosu 31</w:t>
      </w:r>
      <w:r w:rsidR="00DE01E1">
        <w:rPr>
          <w:rFonts w:ascii="Times New Roman" w:hAnsi="Times New Roman"/>
          <w:bCs/>
          <w:sz w:val="24"/>
          <w:szCs w:val="24"/>
        </w:rPr>
        <w:t>.</w:t>
      </w:r>
      <w:r w:rsidR="00196FFB">
        <w:rPr>
          <w:rFonts w:ascii="Times New Roman" w:hAnsi="Times New Roman"/>
          <w:bCs/>
          <w:sz w:val="24"/>
          <w:szCs w:val="24"/>
        </w:rPr>
        <w:t>946</w:t>
      </w:r>
      <w:r w:rsidR="00DE01E1">
        <w:rPr>
          <w:rFonts w:ascii="Times New Roman" w:hAnsi="Times New Roman"/>
          <w:bCs/>
          <w:sz w:val="24"/>
          <w:szCs w:val="24"/>
        </w:rPr>
        <w:t>.</w:t>
      </w:r>
      <w:r w:rsidR="00196FFB">
        <w:rPr>
          <w:rFonts w:ascii="Times New Roman" w:hAnsi="Times New Roman"/>
          <w:bCs/>
          <w:sz w:val="24"/>
          <w:szCs w:val="24"/>
        </w:rPr>
        <w:t>417</w:t>
      </w:r>
      <w:r w:rsidR="00DE01E1">
        <w:rPr>
          <w:rFonts w:ascii="Times New Roman" w:hAnsi="Times New Roman"/>
          <w:bCs/>
          <w:sz w:val="24"/>
          <w:szCs w:val="24"/>
        </w:rPr>
        <w:t>,</w:t>
      </w:r>
      <w:r w:rsidR="00196FFB">
        <w:rPr>
          <w:rFonts w:ascii="Times New Roman" w:hAnsi="Times New Roman"/>
          <w:bCs/>
          <w:sz w:val="24"/>
          <w:szCs w:val="24"/>
        </w:rPr>
        <w:t>50</w:t>
      </w:r>
      <w:r w:rsidR="00DE01E1">
        <w:rPr>
          <w:rFonts w:ascii="Times New Roman" w:hAnsi="Times New Roman"/>
          <w:bCs/>
          <w:sz w:val="24"/>
          <w:szCs w:val="24"/>
        </w:rPr>
        <w:t xml:space="preserve"> eura</w:t>
      </w:r>
      <w:r w:rsidR="003D0965">
        <w:rPr>
          <w:rFonts w:ascii="Times New Roman" w:hAnsi="Times New Roman"/>
          <w:bCs/>
          <w:sz w:val="24"/>
          <w:szCs w:val="24"/>
        </w:rPr>
        <w:t>, što iznosi 55</w:t>
      </w:r>
      <w:r w:rsidR="00576D4E">
        <w:rPr>
          <w:rFonts w:ascii="Times New Roman" w:hAnsi="Times New Roman"/>
          <w:bCs/>
          <w:sz w:val="24"/>
          <w:szCs w:val="24"/>
        </w:rPr>
        <w:t>,</w:t>
      </w:r>
      <w:r w:rsidR="003D0965">
        <w:rPr>
          <w:rFonts w:ascii="Times New Roman" w:hAnsi="Times New Roman"/>
          <w:bCs/>
          <w:sz w:val="24"/>
          <w:szCs w:val="24"/>
        </w:rPr>
        <w:t>57</w:t>
      </w:r>
      <w:r w:rsidR="00576D4E">
        <w:rPr>
          <w:rFonts w:ascii="Times New Roman" w:hAnsi="Times New Roman"/>
          <w:bCs/>
          <w:sz w:val="24"/>
          <w:szCs w:val="24"/>
        </w:rPr>
        <w:t xml:space="preserve"> posto u odnosu na planirane</w:t>
      </w:r>
      <w:r w:rsidR="00DE01E1">
        <w:rPr>
          <w:rFonts w:ascii="Times New Roman" w:hAnsi="Times New Roman"/>
          <w:bCs/>
          <w:sz w:val="24"/>
          <w:szCs w:val="24"/>
        </w:rPr>
        <w:t xml:space="preserve">. </w:t>
      </w:r>
    </w:p>
    <w:p w:rsidR="000309CD" w:rsidRDefault="000309CD" w:rsidP="000309CD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Pregled </w:t>
      </w:r>
      <w:r w:rsidR="00DE01E1">
        <w:rPr>
          <w:rFonts w:ascii="Times New Roman" w:hAnsi="Times New Roman"/>
          <w:bCs/>
          <w:sz w:val="24"/>
          <w:szCs w:val="24"/>
        </w:rPr>
        <w:t>planiranih i ostvarenih rashoda</w:t>
      </w:r>
      <w:r>
        <w:rPr>
          <w:rFonts w:ascii="Times New Roman" w:hAnsi="Times New Roman"/>
          <w:bCs/>
          <w:sz w:val="24"/>
          <w:szCs w:val="24"/>
        </w:rPr>
        <w:t xml:space="preserve"> prema ekonomskoj klasifikaciji daje se u tabličnom prikazu:</w:t>
      </w:r>
    </w:p>
    <w:p w:rsidR="005D6DF6" w:rsidRPr="005C0785" w:rsidRDefault="005D6DF6" w:rsidP="000309CD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4904"/>
        <w:gridCol w:w="1762"/>
        <w:gridCol w:w="1762"/>
        <w:gridCol w:w="1056"/>
      </w:tblGrid>
      <w:tr w:rsidR="000309CD" w:rsidTr="00D61874">
        <w:tc>
          <w:tcPr>
            <w:tcW w:w="4904" w:type="dxa"/>
          </w:tcPr>
          <w:p w:rsidR="000309CD" w:rsidRDefault="000309CD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Vrsta rashoda</w:t>
            </w:r>
          </w:p>
        </w:tc>
        <w:tc>
          <w:tcPr>
            <w:tcW w:w="1762" w:type="dxa"/>
          </w:tcPr>
          <w:p w:rsidR="000309CD" w:rsidRDefault="000309CD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Plan</w:t>
            </w:r>
          </w:p>
        </w:tc>
        <w:tc>
          <w:tcPr>
            <w:tcW w:w="1762" w:type="dxa"/>
          </w:tcPr>
          <w:p w:rsidR="000309CD" w:rsidRDefault="000309CD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Izvršenje</w:t>
            </w:r>
          </w:p>
        </w:tc>
        <w:tc>
          <w:tcPr>
            <w:tcW w:w="1056" w:type="dxa"/>
          </w:tcPr>
          <w:p w:rsidR="000309CD" w:rsidRDefault="000309CD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Indeks</w:t>
            </w:r>
          </w:p>
        </w:tc>
      </w:tr>
      <w:tr w:rsidR="000309CD" w:rsidRPr="00F778A1" w:rsidTr="00D61874">
        <w:tc>
          <w:tcPr>
            <w:tcW w:w="4904" w:type="dxa"/>
          </w:tcPr>
          <w:p w:rsidR="000309CD" w:rsidRPr="00F778A1" w:rsidRDefault="000309CD" w:rsidP="000309CD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Rashodi</w:t>
            </w:r>
            <w:r w:rsidRPr="00F778A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poslovanja</w:t>
            </w:r>
          </w:p>
        </w:tc>
        <w:tc>
          <w:tcPr>
            <w:tcW w:w="1762" w:type="dxa"/>
          </w:tcPr>
          <w:p w:rsidR="000309CD" w:rsidRPr="00F778A1" w:rsidRDefault="003D0965" w:rsidP="003D0965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37.253.769,00</w:t>
            </w:r>
          </w:p>
        </w:tc>
        <w:tc>
          <w:tcPr>
            <w:tcW w:w="1762" w:type="dxa"/>
          </w:tcPr>
          <w:p w:rsidR="000309CD" w:rsidRPr="00F778A1" w:rsidRDefault="003D0965" w:rsidP="003D0965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18.825.049,21</w:t>
            </w:r>
          </w:p>
        </w:tc>
        <w:tc>
          <w:tcPr>
            <w:tcW w:w="1056" w:type="dxa"/>
          </w:tcPr>
          <w:p w:rsidR="000309CD" w:rsidRPr="00F778A1" w:rsidRDefault="003D0965" w:rsidP="003D0965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  50,53</w:t>
            </w:r>
          </w:p>
        </w:tc>
      </w:tr>
      <w:tr w:rsidR="003D0965" w:rsidTr="00D61874">
        <w:tc>
          <w:tcPr>
            <w:tcW w:w="4904" w:type="dxa"/>
          </w:tcPr>
          <w:p w:rsidR="003D0965" w:rsidRDefault="003D0965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Rashodi za zaposlene (31)</w:t>
            </w:r>
          </w:p>
        </w:tc>
        <w:tc>
          <w:tcPr>
            <w:tcW w:w="1762" w:type="dxa"/>
          </w:tcPr>
          <w:p w:rsidR="003D0965" w:rsidRPr="003D0965" w:rsidRDefault="003D0965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D0965">
              <w:rPr>
                <w:rFonts w:ascii="Times New Roman" w:hAnsi="Times New Roman"/>
                <w:bCs/>
                <w:sz w:val="24"/>
                <w:szCs w:val="24"/>
              </w:rPr>
              <w:t xml:space="preserve"> 29.999.985,00</w:t>
            </w:r>
          </w:p>
        </w:tc>
        <w:tc>
          <w:tcPr>
            <w:tcW w:w="1762" w:type="dxa"/>
          </w:tcPr>
          <w:p w:rsidR="003D0965" w:rsidRPr="003D0965" w:rsidRDefault="003D0965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965">
              <w:rPr>
                <w:rFonts w:ascii="Times New Roman" w:hAnsi="Times New Roman"/>
                <w:bCs/>
                <w:sz w:val="24"/>
                <w:szCs w:val="24"/>
              </w:rPr>
              <w:t xml:space="preserve"> 15.427.700,10</w:t>
            </w:r>
          </w:p>
        </w:tc>
        <w:tc>
          <w:tcPr>
            <w:tcW w:w="1056" w:type="dxa"/>
          </w:tcPr>
          <w:p w:rsidR="003D0965" w:rsidRPr="003D0965" w:rsidRDefault="003D0965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0965">
              <w:rPr>
                <w:rFonts w:ascii="Times New Roman" w:hAnsi="Times New Roman"/>
                <w:bCs/>
                <w:sz w:val="24"/>
                <w:szCs w:val="24"/>
              </w:rPr>
              <w:t xml:space="preserve">   51,43</w:t>
            </w:r>
          </w:p>
        </w:tc>
      </w:tr>
      <w:tr w:rsidR="000309CD" w:rsidTr="00D61874">
        <w:trPr>
          <w:trHeight w:val="438"/>
        </w:trPr>
        <w:tc>
          <w:tcPr>
            <w:tcW w:w="4904" w:type="dxa"/>
          </w:tcPr>
          <w:p w:rsidR="000309CD" w:rsidRDefault="000309CD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Materijalni rashodi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(32)</w:t>
            </w:r>
          </w:p>
        </w:tc>
        <w:tc>
          <w:tcPr>
            <w:tcW w:w="1762" w:type="dxa"/>
          </w:tcPr>
          <w:p w:rsidR="000309CD" w:rsidRDefault="00576D4E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6</w:t>
            </w:r>
            <w:r w:rsidR="005A2C5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5A2C5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942</w:t>
            </w:r>
            <w:r w:rsidR="005A2C59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0309CD" w:rsidRDefault="005A2C59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576D4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060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138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056" w:type="dxa"/>
          </w:tcPr>
          <w:p w:rsidR="000309CD" w:rsidRDefault="005A2C59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576D4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576D4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</w:p>
        </w:tc>
      </w:tr>
      <w:tr w:rsidR="000309CD" w:rsidTr="00D61874">
        <w:tc>
          <w:tcPr>
            <w:tcW w:w="4904" w:type="dxa"/>
          </w:tcPr>
          <w:p w:rsidR="000309CD" w:rsidRDefault="000309CD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Financijski rashodi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(34)</w:t>
            </w:r>
          </w:p>
        </w:tc>
        <w:tc>
          <w:tcPr>
            <w:tcW w:w="1762" w:type="dxa"/>
          </w:tcPr>
          <w:p w:rsidR="000309CD" w:rsidRDefault="005A2C59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7.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550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0309CD" w:rsidRDefault="005A2C59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576D4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343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056" w:type="dxa"/>
          </w:tcPr>
          <w:p w:rsidR="000309CD" w:rsidRDefault="003D0965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76D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  <w:r w:rsidR="00576D4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</w:tr>
      <w:tr w:rsidR="000309CD" w:rsidTr="00D61874">
        <w:tc>
          <w:tcPr>
            <w:tcW w:w="4904" w:type="dxa"/>
          </w:tcPr>
          <w:p w:rsidR="000309CD" w:rsidRDefault="000309CD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Subvencije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(35)</w:t>
            </w:r>
          </w:p>
        </w:tc>
        <w:tc>
          <w:tcPr>
            <w:tcW w:w="1762" w:type="dxa"/>
          </w:tcPr>
          <w:p w:rsidR="000309CD" w:rsidRDefault="00576D4E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 xml:space="preserve">152.000,00         </w:t>
            </w:r>
          </w:p>
        </w:tc>
        <w:tc>
          <w:tcPr>
            <w:tcW w:w="1762" w:type="dxa"/>
          </w:tcPr>
          <w:p w:rsidR="000309CD" w:rsidRDefault="00576D4E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 xml:space="preserve">    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  <w:r w:rsidR="005A2C5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  <w:r w:rsidR="005A2C59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056" w:type="dxa"/>
          </w:tcPr>
          <w:p w:rsidR="000309CD" w:rsidRDefault="003D0965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175,63</w:t>
            </w:r>
          </w:p>
        </w:tc>
      </w:tr>
      <w:tr w:rsidR="000309CD" w:rsidTr="00D61874">
        <w:tc>
          <w:tcPr>
            <w:tcW w:w="4904" w:type="dxa"/>
          </w:tcPr>
          <w:p w:rsidR="000309CD" w:rsidRDefault="000309CD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Pomoći dane u inozemstvo i unutar istog proračuna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(36)</w:t>
            </w:r>
          </w:p>
        </w:tc>
        <w:tc>
          <w:tcPr>
            <w:tcW w:w="1762" w:type="dxa"/>
          </w:tcPr>
          <w:p w:rsidR="000309CD" w:rsidRDefault="00576D4E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 xml:space="preserve"> 139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942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0309CD" w:rsidRDefault="005A2C59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 xml:space="preserve">  54</w:t>
            </w:r>
            <w:r w:rsidR="00576D4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370</w:t>
            </w:r>
            <w:r w:rsidR="00576D4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56" w:type="dxa"/>
          </w:tcPr>
          <w:p w:rsidR="000309CD" w:rsidRDefault="003D0965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38,85</w:t>
            </w:r>
          </w:p>
        </w:tc>
      </w:tr>
      <w:tr w:rsidR="000309CD" w:rsidTr="00D61874">
        <w:tc>
          <w:tcPr>
            <w:tcW w:w="4904" w:type="dxa"/>
          </w:tcPr>
          <w:p w:rsidR="000309CD" w:rsidRDefault="000309CD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Naknade građanima i kućanstvima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(37)</w:t>
            </w:r>
          </w:p>
        </w:tc>
        <w:tc>
          <w:tcPr>
            <w:tcW w:w="1762" w:type="dxa"/>
          </w:tcPr>
          <w:p w:rsidR="000309CD" w:rsidRDefault="003D0965" w:rsidP="00576D4E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6.350,00</w:t>
            </w:r>
          </w:p>
        </w:tc>
        <w:tc>
          <w:tcPr>
            <w:tcW w:w="1762" w:type="dxa"/>
          </w:tcPr>
          <w:p w:rsidR="000309CD" w:rsidRDefault="005A2C59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576D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 xml:space="preserve">   8.543,42</w:t>
            </w:r>
          </w:p>
        </w:tc>
        <w:tc>
          <w:tcPr>
            <w:tcW w:w="1056" w:type="dxa"/>
          </w:tcPr>
          <w:p w:rsidR="000309CD" w:rsidRDefault="003D0965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134,54</w:t>
            </w:r>
          </w:p>
        </w:tc>
      </w:tr>
      <w:tr w:rsidR="000309CD" w:rsidRPr="00F778A1" w:rsidTr="00D61874">
        <w:tc>
          <w:tcPr>
            <w:tcW w:w="4904" w:type="dxa"/>
          </w:tcPr>
          <w:p w:rsidR="000309CD" w:rsidRPr="00F778A1" w:rsidRDefault="000309CD" w:rsidP="000309CD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Rashodi za nefinancijsku</w:t>
            </w:r>
            <w:r w:rsidR="00DE01E1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imovinu</w:t>
            </w:r>
          </w:p>
        </w:tc>
        <w:tc>
          <w:tcPr>
            <w:tcW w:w="1762" w:type="dxa"/>
          </w:tcPr>
          <w:p w:rsidR="000309CD" w:rsidRPr="00F778A1" w:rsidRDefault="003D0965" w:rsidP="003D0965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20</w:t>
            </w:r>
            <w:r w:rsidR="005A2C59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576D4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31.001</w:t>
            </w:r>
            <w:r w:rsidR="005A2C59">
              <w:rPr>
                <w:rFonts w:ascii="Times New Roman" w:hAnsi="Times New Roman"/>
                <w:bCs/>
                <w:i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0309CD" w:rsidRPr="00F778A1" w:rsidRDefault="005A2C59" w:rsidP="003D0965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3D0965">
              <w:rPr>
                <w:rFonts w:ascii="Times New Roman" w:hAnsi="Times New Roman"/>
                <w:bCs/>
                <w:i/>
                <w:sz w:val="24"/>
                <w:szCs w:val="24"/>
              </w:rPr>
              <w:t>13</w:t>
            </w:r>
            <w:r w:rsidR="00576D4E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i/>
                <w:sz w:val="24"/>
                <w:szCs w:val="24"/>
              </w:rPr>
              <w:t>121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i/>
                <w:sz w:val="24"/>
                <w:szCs w:val="24"/>
              </w:rPr>
              <w:t>368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576D4E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  <w:r w:rsidR="003D0965">
              <w:rPr>
                <w:rFonts w:ascii="Times New Roman" w:hAnsi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056" w:type="dxa"/>
          </w:tcPr>
          <w:p w:rsidR="000309CD" w:rsidRPr="00F778A1" w:rsidRDefault="005A2C59" w:rsidP="003D0965">
            <w:pPr>
              <w:pStyle w:val="Odlomakpopisa"/>
              <w:ind w:left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3D0965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64</w:t>
            </w:r>
            <w:r w:rsidR="00576D4E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="003D0965">
              <w:rPr>
                <w:rFonts w:ascii="Times New Roman" w:hAnsi="Times New Roman"/>
                <w:bCs/>
                <w:i/>
                <w:sz w:val="24"/>
                <w:szCs w:val="24"/>
              </w:rPr>
              <w:t>86</w:t>
            </w:r>
          </w:p>
        </w:tc>
      </w:tr>
      <w:tr w:rsidR="000309CD" w:rsidTr="00D61874">
        <w:tc>
          <w:tcPr>
            <w:tcW w:w="4904" w:type="dxa"/>
          </w:tcPr>
          <w:p w:rsidR="000309CD" w:rsidRDefault="000309CD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neproizvedene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dugotrajne imovine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(41)</w:t>
            </w:r>
          </w:p>
        </w:tc>
        <w:tc>
          <w:tcPr>
            <w:tcW w:w="1762" w:type="dxa"/>
          </w:tcPr>
          <w:p w:rsidR="000309CD" w:rsidRDefault="003D0965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17</w:t>
            </w:r>
            <w:r w:rsidR="005A2C5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000,</w:t>
            </w:r>
            <w:r w:rsidR="005A2C59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762" w:type="dxa"/>
          </w:tcPr>
          <w:p w:rsidR="000309CD" w:rsidRDefault="00576D4E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686,2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:rsidR="000309CD" w:rsidRDefault="00576D4E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 xml:space="preserve">   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309CD" w:rsidTr="00D61874">
        <w:tc>
          <w:tcPr>
            <w:tcW w:w="4904" w:type="dxa"/>
          </w:tcPr>
          <w:p w:rsidR="000309CD" w:rsidRDefault="000309CD" w:rsidP="00587CA2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Rashodi za nabavu proizvedene dugotrajne imovine 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>(42)</w:t>
            </w:r>
          </w:p>
        </w:tc>
        <w:tc>
          <w:tcPr>
            <w:tcW w:w="1762" w:type="dxa"/>
          </w:tcPr>
          <w:p w:rsidR="000309CD" w:rsidRDefault="00576D4E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227.583</w:t>
            </w:r>
            <w:r w:rsidR="005A2C59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0309CD" w:rsidRDefault="005A2C59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61874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167</w:t>
            </w:r>
            <w:r w:rsidR="00D6187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159</w:t>
            </w:r>
            <w:r w:rsidR="00D61874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</w:tcPr>
          <w:p w:rsidR="000309CD" w:rsidRDefault="00DD1F32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 xml:space="preserve">  7</w:t>
            </w:r>
            <w:r w:rsidR="00576D4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</w:tr>
      <w:tr w:rsidR="00D61874" w:rsidTr="00D61874">
        <w:tc>
          <w:tcPr>
            <w:tcW w:w="4904" w:type="dxa"/>
          </w:tcPr>
          <w:p w:rsidR="00D61874" w:rsidRDefault="00D61874" w:rsidP="00D61874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Rashodi za dodatna ulaganja na nefin. </w:t>
            </w:r>
            <w:r w:rsidR="005E0BC4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movini</w:t>
            </w:r>
            <w:r w:rsidR="00CC3221">
              <w:rPr>
                <w:rFonts w:ascii="Times New Roman" w:hAnsi="Times New Roman"/>
                <w:bCs/>
                <w:sz w:val="24"/>
                <w:szCs w:val="24"/>
              </w:rPr>
              <w:t xml:space="preserve"> (45)</w:t>
            </w:r>
          </w:p>
        </w:tc>
        <w:tc>
          <w:tcPr>
            <w:tcW w:w="1762" w:type="dxa"/>
          </w:tcPr>
          <w:p w:rsidR="00D61874" w:rsidRDefault="003D0965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17</w:t>
            </w:r>
            <w:r w:rsidR="00D6187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986</w:t>
            </w:r>
            <w:r w:rsidR="00D6187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418</w:t>
            </w:r>
            <w:r w:rsidR="00D61874"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D61874" w:rsidRDefault="00D61874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953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523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</w:tcPr>
          <w:p w:rsidR="00D61874" w:rsidRDefault="00D61874" w:rsidP="003D0965">
            <w:pPr>
              <w:pStyle w:val="Odlomakpopisa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3D0965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</w:tr>
      <w:tr w:rsidR="00D61874" w:rsidRPr="00F778A1" w:rsidTr="00D61874">
        <w:tc>
          <w:tcPr>
            <w:tcW w:w="4904" w:type="dxa"/>
          </w:tcPr>
          <w:p w:rsidR="00D61874" w:rsidRPr="00F778A1" w:rsidRDefault="00D61874" w:rsidP="00D61874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78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Ukupni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rashodi</w:t>
            </w:r>
          </w:p>
        </w:tc>
        <w:tc>
          <w:tcPr>
            <w:tcW w:w="1762" w:type="dxa"/>
          </w:tcPr>
          <w:p w:rsidR="00D61874" w:rsidRPr="00F778A1" w:rsidRDefault="00D61874" w:rsidP="003D0965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3D0965">
              <w:rPr>
                <w:rFonts w:ascii="Times New Roman" w:hAnsi="Times New Roman"/>
                <w:b/>
                <w:bCs/>
                <w:sz w:val="24"/>
                <w:szCs w:val="24"/>
              </w:rPr>
              <w:t>57.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  <w:r w:rsidR="003D0965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3D0965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62" w:type="dxa"/>
          </w:tcPr>
          <w:p w:rsidR="00D61874" w:rsidRPr="00F778A1" w:rsidRDefault="00D61874" w:rsidP="00C61D71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D09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C61D71">
              <w:rPr>
                <w:rFonts w:ascii="Times New Roman" w:hAnsi="Times New Roman"/>
                <w:b/>
                <w:bCs/>
                <w:sz w:val="24"/>
                <w:szCs w:val="24"/>
              </w:rPr>
              <w:t>946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C61D71">
              <w:rPr>
                <w:rFonts w:ascii="Times New Roman" w:hAnsi="Times New Roman"/>
                <w:b/>
                <w:bCs/>
                <w:sz w:val="24"/>
                <w:szCs w:val="24"/>
              </w:rPr>
              <w:t>417,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C61D71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:rsidR="00D61874" w:rsidRPr="00F778A1" w:rsidRDefault="00D61874" w:rsidP="00C61D71">
            <w:pPr>
              <w:pStyle w:val="Odlomakpopisa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00C61D71">
              <w:rPr>
                <w:rFonts w:ascii="Times New Roman" w:hAnsi="Times New Roman"/>
                <w:b/>
                <w:bCs/>
                <w:sz w:val="24"/>
                <w:szCs w:val="24"/>
              </w:rPr>
              <w:t>55,57</w:t>
            </w:r>
          </w:p>
        </w:tc>
      </w:tr>
    </w:tbl>
    <w:p w:rsidR="005C0785" w:rsidRPr="00917553" w:rsidRDefault="005C0785" w:rsidP="000309CD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A41A7" w:rsidRDefault="007A41A7" w:rsidP="000309CD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 w:rsidP="000309CD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 w:rsidP="00DF629A">
      <w:pPr>
        <w:spacing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7A41A7" w:rsidRDefault="007A41A7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DF4D31" w:rsidRDefault="00DF4D31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7F469C" w:rsidRDefault="007F469C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F469C">
        <w:rPr>
          <w:rFonts w:ascii="Times New Roman" w:hAnsi="Times New Roman"/>
          <w:bCs/>
          <w:sz w:val="24"/>
          <w:szCs w:val="24"/>
        </w:rPr>
        <w:t>Rashodi po</w:t>
      </w:r>
      <w:r>
        <w:rPr>
          <w:rFonts w:ascii="Times New Roman" w:hAnsi="Times New Roman"/>
          <w:bCs/>
          <w:sz w:val="24"/>
          <w:szCs w:val="24"/>
        </w:rPr>
        <w:t>slovanja sadrže rashode za zaposlene, materijalne rashode, financijske rashode, subvencije, pomoći dane u inozemstvo i subjektima unutar istog proračuna te naknade građanima i kućanstvima.</w:t>
      </w:r>
    </w:p>
    <w:p w:rsidR="005E0BC4" w:rsidRDefault="007F469C" w:rsidP="00DF4D31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Ukupni rashodi poslovanja su ostvareni u postotku od 5</w:t>
      </w:r>
      <w:r w:rsidR="005E0BC4">
        <w:rPr>
          <w:rFonts w:ascii="Times New Roman" w:hAnsi="Times New Roman"/>
          <w:bCs/>
          <w:sz w:val="24"/>
          <w:szCs w:val="24"/>
        </w:rPr>
        <w:t>0</w:t>
      </w:r>
      <w:r w:rsidR="00D61874">
        <w:rPr>
          <w:rFonts w:ascii="Times New Roman" w:hAnsi="Times New Roman"/>
          <w:bCs/>
          <w:sz w:val="24"/>
          <w:szCs w:val="24"/>
        </w:rPr>
        <w:t>,5</w:t>
      </w:r>
      <w:r w:rsidR="005E0BC4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posto u odnosu na planirane. Najveć</w:t>
      </w:r>
      <w:r w:rsidR="00D61874">
        <w:rPr>
          <w:rFonts w:ascii="Times New Roman" w:hAnsi="Times New Roman"/>
          <w:bCs/>
          <w:sz w:val="24"/>
          <w:szCs w:val="24"/>
        </w:rPr>
        <w:t xml:space="preserve">e odstupanje je kod subvencija </w:t>
      </w:r>
      <w:r w:rsidR="0059000D">
        <w:rPr>
          <w:rFonts w:ascii="Times New Roman" w:hAnsi="Times New Roman"/>
          <w:bCs/>
          <w:sz w:val="24"/>
          <w:szCs w:val="24"/>
        </w:rPr>
        <w:t>odnosi</w:t>
      </w:r>
      <w:r w:rsidR="00D61874">
        <w:rPr>
          <w:rFonts w:ascii="Times New Roman" w:hAnsi="Times New Roman"/>
          <w:bCs/>
          <w:sz w:val="24"/>
          <w:szCs w:val="24"/>
        </w:rPr>
        <w:t xml:space="preserve"> se </w:t>
      </w:r>
      <w:r w:rsidR="0059000D">
        <w:rPr>
          <w:rFonts w:ascii="Times New Roman" w:hAnsi="Times New Roman"/>
          <w:bCs/>
          <w:sz w:val="24"/>
          <w:szCs w:val="24"/>
        </w:rPr>
        <w:t xml:space="preserve">na </w:t>
      </w:r>
      <w:r w:rsidR="00D61874">
        <w:rPr>
          <w:rFonts w:ascii="Times New Roman" w:hAnsi="Times New Roman"/>
          <w:bCs/>
          <w:sz w:val="24"/>
          <w:szCs w:val="24"/>
        </w:rPr>
        <w:t xml:space="preserve">prijenos partnerima na </w:t>
      </w:r>
      <w:r w:rsidR="000F77E8">
        <w:rPr>
          <w:rFonts w:ascii="Times New Roman" w:hAnsi="Times New Roman"/>
          <w:bCs/>
          <w:sz w:val="24"/>
          <w:szCs w:val="24"/>
        </w:rPr>
        <w:t>NPOO projektima (</w:t>
      </w:r>
      <w:proofErr w:type="spellStart"/>
      <w:r w:rsidR="000F77E8">
        <w:rPr>
          <w:rFonts w:ascii="Times New Roman" w:hAnsi="Times New Roman"/>
          <w:bCs/>
          <w:sz w:val="24"/>
          <w:szCs w:val="24"/>
        </w:rPr>
        <w:t>Skinbiotic</w:t>
      </w:r>
      <w:proofErr w:type="spellEnd"/>
      <w:r w:rsidR="000F77E8">
        <w:rPr>
          <w:rFonts w:ascii="Times New Roman" w:hAnsi="Times New Roman"/>
          <w:bCs/>
          <w:sz w:val="24"/>
          <w:szCs w:val="24"/>
        </w:rPr>
        <w:t xml:space="preserve"> i </w:t>
      </w:r>
      <w:proofErr w:type="spellStart"/>
      <w:r w:rsidR="000F77E8">
        <w:rPr>
          <w:rFonts w:ascii="Times New Roman" w:hAnsi="Times New Roman"/>
          <w:bCs/>
          <w:sz w:val="24"/>
          <w:szCs w:val="24"/>
        </w:rPr>
        <w:t>Chipart</w:t>
      </w:r>
      <w:proofErr w:type="spellEnd"/>
      <w:r w:rsidR="000F77E8">
        <w:rPr>
          <w:rFonts w:ascii="Times New Roman" w:hAnsi="Times New Roman"/>
          <w:bCs/>
          <w:sz w:val="24"/>
          <w:szCs w:val="24"/>
        </w:rPr>
        <w:t>) što prilikom izrade plana nije bilo poznato.</w:t>
      </w:r>
      <w:r w:rsidR="00D61874">
        <w:rPr>
          <w:rFonts w:ascii="Times New Roman" w:hAnsi="Times New Roman"/>
          <w:bCs/>
          <w:sz w:val="24"/>
          <w:szCs w:val="24"/>
        </w:rPr>
        <w:t xml:space="preserve"> </w:t>
      </w:r>
      <w:r w:rsidR="009D6941">
        <w:rPr>
          <w:rFonts w:ascii="Times New Roman" w:hAnsi="Times New Roman"/>
          <w:bCs/>
          <w:sz w:val="24"/>
          <w:szCs w:val="24"/>
        </w:rPr>
        <w:t>Kod financij</w:t>
      </w:r>
      <w:r w:rsidR="005E0BC4">
        <w:rPr>
          <w:rFonts w:ascii="Times New Roman" w:hAnsi="Times New Roman"/>
          <w:bCs/>
          <w:sz w:val="24"/>
          <w:szCs w:val="24"/>
        </w:rPr>
        <w:t>skih rashoda značajno izvrš</w:t>
      </w:r>
      <w:r w:rsidR="00800AD2">
        <w:rPr>
          <w:rFonts w:ascii="Times New Roman" w:hAnsi="Times New Roman"/>
          <w:bCs/>
          <w:sz w:val="24"/>
          <w:szCs w:val="24"/>
        </w:rPr>
        <w:t>e</w:t>
      </w:r>
      <w:r w:rsidR="005E0BC4">
        <w:rPr>
          <w:rFonts w:ascii="Times New Roman" w:hAnsi="Times New Roman"/>
          <w:bCs/>
          <w:sz w:val="24"/>
          <w:szCs w:val="24"/>
        </w:rPr>
        <w:t>nje 97,27% u odnosu na planirano</w:t>
      </w:r>
      <w:r w:rsidR="009D6941">
        <w:rPr>
          <w:rFonts w:ascii="Times New Roman" w:hAnsi="Times New Roman"/>
          <w:bCs/>
          <w:sz w:val="24"/>
          <w:szCs w:val="24"/>
        </w:rPr>
        <w:t xml:space="preserve"> zbog plaćenih zateznih kamata (zbog procedure odobrenja računa) i negativnih tečajnih razlika (plaćanje objave stručnih članaka u drugim valutama). </w:t>
      </w:r>
    </w:p>
    <w:p w:rsidR="007F469C" w:rsidRDefault="0063246F" w:rsidP="00DF4D31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Rashodi za nefinancijsku imovinu sadrže rashode za nabavu </w:t>
      </w:r>
      <w:proofErr w:type="spellStart"/>
      <w:r>
        <w:rPr>
          <w:rFonts w:ascii="Times New Roman" w:hAnsi="Times New Roman"/>
          <w:bCs/>
          <w:sz w:val="24"/>
          <w:szCs w:val="24"/>
        </w:rPr>
        <w:t>neproizvedene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dugotrajne imovine, nabavu proizvedene dugotrajne imovine i rashode za dodatna ulaganja na nefinancijskoj imovini.</w:t>
      </w:r>
    </w:p>
    <w:p w:rsidR="00842701" w:rsidRDefault="005A71A2" w:rsidP="005E0BC4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Ukupni rashodi za nefinancijsku imov</w:t>
      </w:r>
      <w:r w:rsidR="005E0BC4">
        <w:rPr>
          <w:rFonts w:ascii="Times New Roman" w:hAnsi="Times New Roman"/>
          <w:bCs/>
          <w:sz w:val="24"/>
          <w:szCs w:val="24"/>
        </w:rPr>
        <w:t>inu ostvareni su u postotku od 64</w:t>
      </w:r>
      <w:r w:rsidR="009D6941">
        <w:rPr>
          <w:rFonts w:ascii="Times New Roman" w:hAnsi="Times New Roman"/>
          <w:bCs/>
          <w:sz w:val="24"/>
          <w:szCs w:val="24"/>
        </w:rPr>
        <w:t>,</w:t>
      </w:r>
      <w:r w:rsidR="005E0BC4">
        <w:rPr>
          <w:rFonts w:ascii="Times New Roman" w:hAnsi="Times New Roman"/>
          <w:bCs/>
          <w:sz w:val="24"/>
          <w:szCs w:val="24"/>
        </w:rPr>
        <w:t>86</w:t>
      </w:r>
      <w:r w:rsidR="009D6941">
        <w:rPr>
          <w:rFonts w:ascii="Times New Roman" w:hAnsi="Times New Roman"/>
          <w:bCs/>
          <w:sz w:val="24"/>
          <w:szCs w:val="24"/>
        </w:rPr>
        <w:t>%</w:t>
      </w:r>
      <w:r>
        <w:rPr>
          <w:rFonts w:ascii="Times New Roman" w:hAnsi="Times New Roman"/>
          <w:bCs/>
          <w:sz w:val="24"/>
          <w:szCs w:val="24"/>
        </w:rPr>
        <w:t xml:space="preserve"> posto u odnosu na planirane. </w:t>
      </w:r>
      <w:r w:rsidR="009D6941">
        <w:rPr>
          <w:rFonts w:ascii="Times New Roman" w:hAnsi="Times New Roman"/>
          <w:bCs/>
          <w:sz w:val="24"/>
          <w:szCs w:val="24"/>
        </w:rPr>
        <w:t>Najveće odstupanje je kod rashoda za dodatna ulaganja na nefinancijskoj imovini</w:t>
      </w:r>
      <w:r w:rsidR="005E0BC4">
        <w:rPr>
          <w:rFonts w:ascii="Times New Roman" w:hAnsi="Times New Roman"/>
          <w:bCs/>
          <w:sz w:val="24"/>
          <w:szCs w:val="24"/>
        </w:rPr>
        <w:t>, rashodi se odnose na obnovu zgr</w:t>
      </w:r>
      <w:bookmarkStart w:id="0" w:name="_GoBack"/>
      <w:bookmarkEnd w:id="0"/>
      <w:r w:rsidR="005E0BC4">
        <w:rPr>
          <w:rFonts w:ascii="Times New Roman" w:hAnsi="Times New Roman"/>
          <w:bCs/>
          <w:sz w:val="24"/>
          <w:szCs w:val="24"/>
        </w:rPr>
        <w:t>ada stradalih u potresu. Zbog likvidnosti dio računa iz prethodne godine je plaćen u 2025.</w:t>
      </w:r>
      <w:r w:rsidR="00800AD2">
        <w:rPr>
          <w:rFonts w:ascii="Times New Roman" w:hAnsi="Times New Roman"/>
          <w:bCs/>
          <w:sz w:val="24"/>
          <w:szCs w:val="24"/>
        </w:rPr>
        <w:t xml:space="preserve"> </w:t>
      </w:r>
      <w:r w:rsidR="005E0BC4">
        <w:rPr>
          <w:rFonts w:ascii="Times New Roman" w:hAnsi="Times New Roman"/>
          <w:bCs/>
          <w:sz w:val="24"/>
          <w:szCs w:val="24"/>
        </w:rPr>
        <w:t>godini.</w:t>
      </w:r>
    </w:p>
    <w:p w:rsidR="00B40BB2" w:rsidRDefault="009D6941" w:rsidP="00B40BB2">
      <w:pPr>
        <w:spacing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40BB2" w:rsidRPr="001020AA" w:rsidRDefault="00D76EFC" w:rsidP="00B40BB2">
      <w:pPr>
        <w:spacing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STANJE NOVČANIH SREDSTAVA NA RAČUNIMA MEDICINSKOG FAKULTETA</w:t>
      </w:r>
    </w:p>
    <w:p w:rsidR="0063246F" w:rsidRDefault="00842701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1D27C8">
        <w:rPr>
          <w:rFonts w:ascii="Times New Roman" w:hAnsi="Times New Roman"/>
          <w:bCs/>
          <w:sz w:val="24"/>
          <w:szCs w:val="24"/>
        </w:rPr>
        <w:t>tanje novčanih sredstava sa 0</w:t>
      </w:r>
      <w:r>
        <w:rPr>
          <w:rFonts w:ascii="Times New Roman" w:hAnsi="Times New Roman"/>
          <w:bCs/>
          <w:sz w:val="24"/>
          <w:szCs w:val="24"/>
        </w:rPr>
        <w:t>1.</w:t>
      </w:r>
      <w:r w:rsidR="001D27C8">
        <w:rPr>
          <w:rFonts w:ascii="Times New Roman" w:hAnsi="Times New Roman"/>
          <w:bCs/>
          <w:sz w:val="24"/>
          <w:szCs w:val="24"/>
        </w:rPr>
        <w:t>01</w:t>
      </w:r>
      <w:r>
        <w:rPr>
          <w:rFonts w:ascii="Times New Roman" w:hAnsi="Times New Roman"/>
          <w:bCs/>
          <w:sz w:val="24"/>
          <w:szCs w:val="24"/>
        </w:rPr>
        <w:t>.202</w:t>
      </w:r>
      <w:r w:rsidR="006A4661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</w:t>
      </w:r>
      <w:r w:rsidR="000F77E8">
        <w:rPr>
          <w:rFonts w:ascii="Times New Roman" w:hAnsi="Times New Roman"/>
          <w:bCs/>
          <w:sz w:val="24"/>
          <w:szCs w:val="24"/>
        </w:rPr>
        <w:t xml:space="preserve"> iznosi 4</w:t>
      </w:r>
      <w:r w:rsidR="001D27C8">
        <w:rPr>
          <w:rFonts w:ascii="Times New Roman" w:hAnsi="Times New Roman"/>
          <w:bCs/>
          <w:sz w:val="24"/>
          <w:szCs w:val="24"/>
        </w:rPr>
        <w:t>.</w:t>
      </w:r>
      <w:r w:rsidR="000F77E8">
        <w:rPr>
          <w:rFonts w:ascii="Times New Roman" w:hAnsi="Times New Roman"/>
          <w:bCs/>
          <w:sz w:val="24"/>
          <w:szCs w:val="24"/>
        </w:rPr>
        <w:t>285</w:t>
      </w:r>
      <w:r w:rsidR="001D27C8">
        <w:rPr>
          <w:rFonts w:ascii="Times New Roman" w:hAnsi="Times New Roman"/>
          <w:bCs/>
          <w:sz w:val="24"/>
          <w:szCs w:val="24"/>
        </w:rPr>
        <w:t>.</w:t>
      </w:r>
      <w:r w:rsidR="000F77E8">
        <w:rPr>
          <w:rFonts w:ascii="Times New Roman" w:hAnsi="Times New Roman"/>
          <w:bCs/>
          <w:sz w:val="24"/>
          <w:szCs w:val="24"/>
        </w:rPr>
        <w:t>608</w:t>
      </w:r>
      <w:r w:rsidR="001D27C8">
        <w:rPr>
          <w:rFonts w:ascii="Times New Roman" w:hAnsi="Times New Roman"/>
          <w:bCs/>
          <w:sz w:val="24"/>
          <w:szCs w:val="24"/>
        </w:rPr>
        <w:t>,</w:t>
      </w:r>
      <w:r w:rsidR="000F77E8">
        <w:rPr>
          <w:rFonts w:ascii="Times New Roman" w:hAnsi="Times New Roman"/>
          <w:bCs/>
          <w:sz w:val="24"/>
          <w:szCs w:val="24"/>
        </w:rPr>
        <w:t>57</w:t>
      </w:r>
      <w:r w:rsidR="001D27C8">
        <w:rPr>
          <w:rFonts w:ascii="Times New Roman" w:hAnsi="Times New Roman"/>
          <w:bCs/>
          <w:sz w:val="24"/>
          <w:szCs w:val="24"/>
        </w:rPr>
        <w:t xml:space="preserve"> eura. Stanje novčanih s</w:t>
      </w:r>
      <w:r w:rsidR="000F77E8">
        <w:rPr>
          <w:rFonts w:ascii="Times New Roman" w:hAnsi="Times New Roman"/>
          <w:bCs/>
          <w:sz w:val="24"/>
          <w:szCs w:val="24"/>
        </w:rPr>
        <w:t>redstava sa 30.06.2024. iznosi 6</w:t>
      </w:r>
      <w:r w:rsidR="001D27C8">
        <w:rPr>
          <w:rFonts w:ascii="Times New Roman" w:hAnsi="Times New Roman"/>
          <w:bCs/>
          <w:sz w:val="24"/>
          <w:szCs w:val="24"/>
        </w:rPr>
        <w:t>.</w:t>
      </w:r>
      <w:r w:rsidR="000F77E8">
        <w:rPr>
          <w:rFonts w:ascii="Times New Roman" w:hAnsi="Times New Roman"/>
          <w:bCs/>
          <w:sz w:val="24"/>
          <w:szCs w:val="24"/>
        </w:rPr>
        <w:t>332</w:t>
      </w:r>
      <w:r w:rsidR="001D27C8">
        <w:rPr>
          <w:rFonts w:ascii="Times New Roman" w:hAnsi="Times New Roman"/>
          <w:bCs/>
          <w:sz w:val="24"/>
          <w:szCs w:val="24"/>
        </w:rPr>
        <w:t>.</w:t>
      </w:r>
      <w:r w:rsidR="000F77E8">
        <w:rPr>
          <w:rFonts w:ascii="Times New Roman" w:hAnsi="Times New Roman"/>
          <w:bCs/>
          <w:sz w:val="24"/>
          <w:szCs w:val="24"/>
        </w:rPr>
        <w:t>271,73</w:t>
      </w:r>
      <w:r w:rsidR="001D27C8">
        <w:rPr>
          <w:rFonts w:ascii="Times New Roman" w:hAnsi="Times New Roman"/>
          <w:bCs/>
          <w:sz w:val="24"/>
          <w:szCs w:val="24"/>
        </w:rPr>
        <w:t xml:space="preserve"> eura.</w:t>
      </w:r>
    </w:p>
    <w:p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461C2A" w:rsidRDefault="00D76EFC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Zagreb, 22.07.2024</w:t>
      </w:r>
      <w:r w:rsidR="00461C2A">
        <w:rPr>
          <w:rFonts w:ascii="Times New Roman" w:hAnsi="Times New Roman"/>
          <w:bCs/>
          <w:sz w:val="24"/>
          <w:szCs w:val="24"/>
        </w:rPr>
        <w:t>.</w:t>
      </w:r>
    </w:p>
    <w:p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Dekan:</w:t>
      </w:r>
    </w:p>
    <w:p w:rsidR="00461C2A" w:rsidRDefault="00461C2A" w:rsidP="0063246F">
      <w:pPr>
        <w:spacing w:line="259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B55A24" w:rsidRDefault="00461C2A" w:rsidP="008A6C3A">
      <w:pPr>
        <w:spacing w:line="259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Prof.dr.sc. Slavko Orešković</w:t>
      </w:r>
    </w:p>
    <w:sectPr w:rsidR="00B55A24" w:rsidSect="00BC2F25">
      <w:footerReference w:type="default" r:id="rId7"/>
      <w:pgSz w:w="11906" w:h="16838"/>
      <w:pgMar w:top="851" w:right="851" w:bottom="851" w:left="85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38" w:rsidRDefault="00ED0C38" w:rsidP="00364558">
      <w:r>
        <w:separator/>
      </w:r>
    </w:p>
  </w:endnote>
  <w:endnote w:type="continuationSeparator" w:id="0">
    <w:p w:rsidR="00ED0C38" w:rsidRDefault="00ED0C38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080220"/>
      <w:docPartObj>
        <w:docPartGallery w:val="Page Numbers (Bottom of Page)"/>
        <w:docPartUnique/>
      </w:docPartObj>
    </w:sdtPr>
    <w:sdtEndPr/>
    <w:sdtContent>
      <w:p w:rsidR="00E93F46" w:rsidRDefault="00E93F4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AD2">
          <w:rPr>
            <w:noProof/>
          </w:rPr>
          <w:t>2</w:t>
        </w:r>
        <w:r>
          <w:fldChar w:fldCharType="end"/>
        </w:r>
      </w:p>
    </w:sdtContent>
  </w:sdt>
  <w:p w:rsidR="00364558" w:rsidRDefault="003645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38" w:rsidRDefault="00ED0C38" w:rsidP="00364558">
      <w:r>
        <w:separator/>
      </w:r>
    </w:p>
  </w:footnote>
  <w:footnote w:type="continuationSeparator" w:id="0">
    <w:p w:rsidR="00ED0C38" w:rsidRDefault="00ED0C38" w:rsidP="0036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84BF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61325"/>
    <w:multiLevelType w:val="multilevel"/>
    <w:tmpl w:val="8EBA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1D2927"/>
    <w:multiLevelType w:val="hybridMultilevel"/>
    <w:tmpl w:val="81A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8066A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65F5E"/>
    <w:multiLevelType w:val="hybridMultilevel"/>
    <w:tmpl w:val="ED243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61D41"/>
    <w:multiLevelType w:val="hybridMultilevel"/>
    <w:tmpl w:val="8472B18A"/>
    <w:lvl w:ilvl="0" w:tplc="547EBD3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24"/>
    <w:rsid w:val="00012B77"/>
    <w:rsid w:val="000250F6"/>
    <w:rsid w:val="000309CD"/>
    <w:rsid w:val="000573C3"/>
    <w:rsid w:val="000840B1"/>
    <w:rsid w:val="000C55A8"/>
    <w:rsid w:val="000E2991"/>
    <w:rsid w:val="000F77E8"/>
    <w:rsid w:val="001020AA"/>
    <w:rsid w:val="001555B0"/>
    <w:rsid w:val="00157EB7"/>
    <w:rsid w:val="00166161"/>
    <w:rsid w:val="00196FFB"/>
    <w:rsid w:val="001D27C8"/>
    <w:rsid w:val="001D553C"/>
    <w:rsid w:val="001E4C98"/>
    <w:rsid w:val="00242B04"/>
    <w:rsid w:val="002F27E1"/>
    <w:rsid w:val="00305FD7"/>
    <w:rsid w:val="003141DD"/>
    <w:rsid w:val="00347070"/>
    <w:rsid w:val="00364558"/>
    <w:rsid w:val="00393666"/>
    <w:rsid w:val="003D0965"/>
    <w:rsid w:val="003D6E46"/>
    <w:rsid w:val="003E0919"/>
    <w:rsid w:val="003F62FB"/>
    <w:rsid w:val="003F74FC"/>
    <w:rsid w:val="004176D8"/>
    <w:rsid w:val="00461C2A"/>
    <w:rsid w:val="00496216"/>
    <w:rsid w:val="004B2E37"/>
    <w:rsid w:val="004C4D50"/>
    <w:rsid w:val="005227FC"/>
    <w:rsid w:val="005247BE"/>
    <w:rsid w:val="00575151"/>
    <w:rsid w:val="00576D4E"/>
    <w:rsid w:val="0059000D"/>
    <w:rsid w:val="005A2C59"/>
    <w:rsid w:val="005A71A2"/>
    <w:rsid w:val="005B4A77"/>
    <w:rsid w:val="005C0785"/>
    <w:rsid w:val="005D6DF6"/>
    <w:rsid w:val="005E0BC4"/>
    <w:rsid w:val="00607040"/>
    <w:rsid w:val="00607544"/>
    <w:rsid w:val="00626273"/>
    <w:rsid w:val="0063246F"/>
    <w:rsid w:val="006503DA"/>
    <w:rsid w:val="006A4661"/>
    <w:rsid w:val="006B348E"/>
    <w:rsid w:val="006C308B"/>
    <w:rsid w:val="006E39F7"/>
    <w:rsid w:val="006F160A"/>
    <w:rsid w:val="006F7F84"/>
    <w:rsid w:val="00713372"/>
    <w:rsid w:val="00730034"/>
    <w:rsid w:val="0079469D"/>
    <w:rsid w:val="00794EFF"/>
    <w:rsid w:val="007A41A7"/>
    <w:rsid w:val="007C5EE9"/>
    <w:rsid w:val="007C60D1"/>
    <w:rsid w:val="007C60D4"/>
    <w:rsid w:val="007F469C"/>
    <w:rsid w:val="00800AD2"/>
    <w:rsid w:val="00811F11"/>
    <w:rsid w:val="00813136"/>
    <w:rsid w:val="00842701"/>
    <w:rsid w:val="008774D2"/>
    <w:rsid w:val="00886A78"/>
    <w:rsid w:val="00893CF1"/>
    <w:rsid w:val="008A6C3A"/>
    <w:rsid w:val="008B367A"/>
    <w:rsid w:val="008C172F"/>
    <w:rsid w:val="008E38D8"/>
    <w:rsid w:val="00917553"/>
    <w:rsid w:val="00950A89"/>
    <w:rsid w:val="009526CE"/>
    <w:rsid w:val="009870E8"/>
    <w:rsid w:val="009A047A"/>
    <w:rsid w:val="009C6703"/>
    <w:rsid w:val="009D6941"/>
    <w:rsid w:val="009F2B74"/>
    <w:rsid w:val="00A51054"/>
    <w:rsid w:val="00A81F0E"/>
    <w:rsid w:val="00A86843"/>
    <w:rsid w:val="00AF3D2A"/>
    <w:rsid w:val="00B122BF"/>
    <w:rsid w:val="00B156F1"/>
    <w:rsid w:val="00B16FA3"/>
    <w:rsid w:val="00B2713F"/>
    <w:rsid w:val="00B40BB2"/>
    <w:rsid w:val="00B55A24"/>
    <w:rsid w:val="00B57D8D"/>
    <w:rsid w:val="00BC2F25"/>
    <w:rsid w:val="00BC3A83"/>
    <w:rsid w:val="00BF3135"/>
    <w:rsid w:val="00BF4AEB"/>
    <w:rsid w:val="00C40735"/>
    <w:rsid w:val="00C55CF9"/>
    <w:rsid w:val="00C56DD1"/>
    <w:rsid w:val="00C61D71"/>
    <w:rsid w:val="00CA2F47"/>
    <w:rsid w:val="00CC3221"/>
    <w:rsid w:val="00CC4D0C"/>
    <w:rsid w:val="00CF653A"/>
    <w:rsid w:val="00D04F98"/>
    <w:rsid w:val="00D07B58"/>
    <w:rsid w:val="00D32534"/>
    <w:rsid w:val="00D35E83"/>
    <w:rsid w:val="00D61874"/>
    <w:rsid w:val="00D75999"/>
    <w:rsid w:val="00D76EFC"/>
    <w:rsid w:val="00D9558C"/>
    <w:rsid w:val="00DC0E53"/>
    <w:rsid w:val="00DD1F32"/>
    <w:rsid w:val="00DD2BCE"/>
    <w:rsid w:val="00DE01E1"/>
    <w:rsid w:val="00DF4D31"/>
    <w:rsid w:val="00DF629A"/>
    <w:rsid w:val="00E06110"/>
    <w:rsid w:val="00E668EF"/>
    <w:rsid w:val="00E80CD8"/>
    <w:rsid w:val="00E93F46"/>
    <w:rsid w:val="00ED0C38"/>
    <w:rsid w:val="00EF3D14"/>
    <w:rsid w:val="00F008D4"/>
    <w:rsid w:val="00F06EA9"/>
    <w:rsid w:val="00F17949"/>
    <w:rsid w:val="00F778A1"/>
    <w:rsid w:val="00FA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273D9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558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558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C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2480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Marina Sočković</cp:lastModifiedBy>
  <cp:revision>27</cp:revision>
  <cp:lastPrinted>2024-07-22T11:18:00Z</cp:lastPrinted>
  <dcterms:created xsi:type="dcterms:W3CDTF">2023-08-23T06:47:00Z</dcterms:created>
  <dcterms:modified xsi:type="dcterms:W3CDTF">2025-07-21T12:15:00Z</dcterms:modified>
</cp:coreProperties>
</file>